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eastAsia="宋体"/>
          <w:b/>
          <w:bCs/>
          <w:sz w:val="24"/>
          <w:lang w:val="en-US" w:eastAsia="zh-CN"/>
        </w:rPr>
      </w:pPr>
      <w:r>
        <w:rPr>
          <w:rFonts w:ascii="Arial" w:hAnsi="Arial" w:eastAsia="宋体"/>
          <w:b/>
          <w:bCs/>
          <w:sz w:val="24"/>
          <w:lang w:val="en-GB"/>
        </w:rPr>
        <w:t>3GPP TSG-RAN WG2 Meeting #123bis</w:t>
      </w:r>
      <w:r>
        <w:rPr>
          <w:rFonts w:ascii="Arial" w:hAnsi="Arial" w:eastAsia="宋体"/>
          <w:b/>
          <w:bCs/>
          <w:sz w:val="24"/>
          <w:lang w:val="en-GB"/>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ascii="Arial" w:hAnsi="Arial" w:eastAsia="宋体"/>
          <w:b/>
          <w:bCs/>
          <w:sz w:val="24"/>
          <w:lang w:val="en-GB"/>
        </w:rPr>
        <w:t>R2-2</w:t>
      </w:r>
      <w:r>
        <w:rPr>
          <w:rFonts w:hint="eastAsia" w:ascii="Arial" w:hAnsi="Arial" w:eastAsia="宋体"/>
          <w:b/>
          <w:bCs/>
          <w:sz w:val="24"/>
          <w:lang w:val="en-US" w:eastAsia="zh-CN"/>
        </w:rPr>
        <w:t>310608</w:t>
      </w:r>
    </w:p>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Xiamen, China, October 9th – 13th, 2023</w:t>
      </w:r>
    </w:p>
    <w:p>
      <w:pPr>
        <w:overflowPunct w:val="0"/>
        <w:autoSpaceDE w:val="0"/>
        <w:autoSpaceDN w:val="0"/>
        <w:adjustRightInd w:val="0"/>
        <w:snapToGrid w:val="0"/>
        <w:spacing w:line="240" w:lineRule="auto"/>
        <w:jc w:val="left"/>
        <w:textAlignment w:val="baseline"/>
        <w:rPr>
          <w:rFonts w:ascii="Arial" w:hAnsi="Arial" w:eastAsia="宋体"/>
          <w:b/>
          <w:bCs/>
          <w:sz w:val="24"/>
          <w:lang w:val="en-GB"/>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measurement reporting enhancement</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120" w:line="240" w:lineRule="auto"/>
        <w:rPr>
          <w:szCs w:val="21"/>
        </w:rPr>
      </w:pPr>
      <w:bookmarkStart w:id="2" w:name="OLE_LINK1"/>
      <w:r>
        <w:rPr>
          <w:rFonts w:hint="eastAsia"/>
          <w:szCs w:val="21"/>
        </w:rPr>
        <w:t>In RAN2#122[1], following agreements were reached:</w:t>
      </w:r>
    </w:p>
    <w:p>
      <w:pPr>
        <w:pBdr>
          <w:top w:val="single" w:color="auto" w:sz="4" w:space="1"/>
          <w:left w:val="single" w:color="auto" w:sz="4" w:space="4"/>
          <w:bottom w:val="single" w:color="auto" w:sz="4" w:space="1"/>
          <w:right w:val="single" w:color="auto" w:sz="4" w:space="4"/>
        </w:pBdr>
        <w:tabs>
          <w:tab w:val="left" w:pos="1622"/>
        </w:tabs>
        <w:snapToGrid w:val="0"/>
        <w:spacing w:after="120" w:line="240" w:lineRule="auto"/>
        <w:ind w:left="1622" w:hanging="363"/>
        <w:rPr>
          <w:rFonts w:eastAsia="MS Mincho"/>
          <w:b/>
          <w:bCs/>
          <w:sz w:val="20"/>
          <w:szCs w:val="20"/>
          <w:lang w:val="en-GB" w:eastAsia="en-GB"/>
        </w:rPr>
      </w:pPr>
      <w:r>
        <w:rPr>
          <w:rFonts w:eastAsia="MS Mincho"/>
          <w:b/>
          <w:bCs/>
          <w:sz w:val="20"/>
          <w:szCs w:val="20"/>
          <w:lang w:val="en-GB" w:eastAsia="en-GB"/>
        </w:rPr>
        <w:t>Agreements</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Add height-based list of SSB-ToMeasure with corresponding height ranges and hysteresis in MeasObjectNR.  FFS on the number of height ranges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As a basic principle, if no height-specific SSB-ToMeasure is configured for a specific height region, the legacy behaviour applies.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For UE behavior on L1 and L3 measurement, it is left to UE implementation whether to keep/discard the old samples while UE moves to a new height region with a different SSB-ToMeasure value</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Whether UE height is included when UAV specific MR is triggered is configurable by the network.</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We will use LTE UEheight.</w:t>
      </w:r>
    </w:p>
    <w:p>
      <w:pPr>
        <w:spacing w:after="0" w:line="240" w:lineRule="auto"/>
        <w:rPr>
          <w:szCs w:val="21"/>
        </w:rPr>
      </w:pPr>
      <w:r>
        <w:rPr>
          <w:szCs w:val="21"/>
        </w:rPr>
        <w:t>In RAN2#123[2], following agreements were reached:</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b/>
          <w:bCs/>
          <w:kern w:val="0"/>
          <w:szCs w:val="21"/>
        </w:rPr>
      </w:pPr>
      <w:r>
        <w:rPr>
          <w:rFonts w:eastAsia="MS Mincho"/>
          <w:b/>
          <w:bCs/>
          <w:kern w:val="0"/>
          <w:szCs w:val="21"/>
        </w:rPr>
        <w:t>Agreements:</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i/>
          <w:iCs/>
          <w:kern w:val="0"/>
          <w:szCs w:val="21"/>
          <w:u w:val="single"/>
        </w:rPr>
      </w:pPr>
      <w:r>
        <w:rPr>
          <w:rFonts w:eastAsia="MS Mincho"/>
          <w:i/>
          <w:iCs/>
          <w:kern w:val="0"/>
          <w:szCs w:val="21"/>
          <w:u w:val="single"/>
        </w:rPr>
        <w:t>Measurement reporting</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New event type is introduced to implement both height-dependent MR configuration and combination of events</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Event combination of H1/H2 with A3, A4, A5 will be support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When the UE moves to a new height region with a different numberOfTriggeringCells value for one configured event, it is up to UE implementation whether the UE keeps the old measurement report or cellstriggeredlist</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At least 300m above ground level will be supported.  FFS if higher ranges can/need to be considered.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Signalling should allow the network to simultaneously configure height-based event thresholds for the whole range of possible UE heights</w:t>
      </w:r>
    </w:p>
    <w:p>
      <w:pPr>
        <w:widowControl/>
        <w:pBdr>
          <w:top w:val="single" w:color="auto" w:sz="4" w:space="1"/>
          <w:left w:val="single" w:color="auto" w:sz="4" w:space="4"/>
          <w:bottom w:val="single" w:color="auto" w:sz="4" w:space="1"/>
          <w:right w:val="single" w:color="auto" w:sz="4" w:space="4"/>
        </w:pBdr>
        <w:spacing w:after="0" w:line="240" w:lineRule="auto"/>
        <w:ind w:left="1259"/>
        <w:jc w:val="left"/>
        <w:rPr>
          <w:rFonts w:eastAsia="MS Mincho"/>
          <w:i/>
          <w:iCs/>
          <w:kern w:val="0"/>
          <w:szCs w:val="21"/>
          <w:u w:val="single"/>
        </w:rPr>
      </w:pPr>
      <w:r>
        <w:rPr>
          <w:rFonts w:eastAsia="MS Mincho"/>
          <w:i/>
          <w:iCs/>
          <w:kern w:val="0"/>
          <w:szCs w:val="21"/>
          <w:u w:val="single"/>
        </w:rPr>
        <w:t xml:space="preserve">Flight path update/reporting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No delta signaling for updated flight path will be supported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Confirm that same indication is used for both initial and updated flightpath plan</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If any waypoint/timestamp has changed more than the configured threshold the UE triggers flightpath update indication.</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When both distance and time threshold are configured, the flightpath update can be triggered if either of those conditions are met.   No prohibit timer will be introduced.  </w:t>
      </w:r>
    </w:p>
    <w:p>
      <w:pPr>
        <w:spacing w:after="120" w:line="240" w:lineRule="auto"/>
        <w:rPr>
          <w:szCs w:val="21"/>
        </w:rPr>
      </w:pP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remaining </w:t>
      </w:r>
      <w:r>
        <w:rPr>
          <w:szCs w:val="21"/>
        </w:rPr>
        <w:t>FFS issues.</w:t>
      </w:r>
      <w:r>
        <w:rPr>
          <w:rFonts w:hint="eastAsia"/>
          <w:szCs w:val="21"/>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keepNext/>
        <w:keepLines/>
        <w:widowControl/>
        <w:numPr>
          <w:ilvl w:val="1"/>
          <w:numId w:val="0"/>
        </w:numPr>
        <w:overflowPunct w:val="0"/>
        <w:autoSpaceDE w:val="0"/>
        <w:autoSpaceDN w:val="0"/>
        <w:adjustRightInd w:val="0"/>
        <w:spacing w:before="180" w:after="180" w:line="240" w:lineRule="auto"/>
        <w:jc w:val="left"/>
        <w:textAlignment w:val="baseline"/>
        <w:outlineLvl w:val="1"/>
        <w:rPr>
          <w:rFonts w:ascii="Arial" w:hAnsi="Arial" w:eastAsia="MS Mincho"/>
          <w:kern w:val="0"/>
          <w:sz w:val="24"/>
          <w:szCs w:val="32"/>
        </w:rPr>
      </w:pPr>
      <w:r>
        <w:rPr>
          <w:rFonts w:hint="eastAsia" w:ascii="Arial" w:hAnsi="Arial" w:eastAsia="MS Mincho"/>
          <w:kern w:val="0"/>
          <w:sz w:val="24"/>
          <w:szCs w:val="32"/>
        </w:rPr>
        <w:t>2.1 On</w:t>
      </w:r>
      <w:r>
        <w:rPr>
          <w:rFonts w:ascii="Arial" w:hAnsi="Arial" w:eastAsia="MS Mincho"/>
          <w:kern w:val="0"/>
          <w:sz w:val="24"/>
          <w:szCs w:val="32"/>
        </w:rPr>
        <w:t xml:space="preserve"> the new </w:t>
      </w:r>
      <w:r>
        <w:rPr>
          <w:rFonts w:hint="eastAsia" w:ascii="Arial" w:hAnsi="Arial" w:eastAsia="MS Mincho"/>
          <w:kern w:val="0"/>
          <w:sz w:val="24"/>
          <w:szCs w:val="32"/>
        </w:rPr>
        <w:t>event</w:t>
      </w:r>
      <w:r>
        <w:rPr>
          <w:rFonts w:ascii="Arial" w:hAnsi="Arial" w:eastAsia="MS Mincho"/>
          <w:kern w:val="0"/>
          <w:sz w:val="24"/>
          <w:szCs w:val="32"/>
        </w:rPr>
        <w:t xml:space="preserve"> types</w:t>
      </w:r>
    </w:p>
    <w:p>
      <w:pPr>
        <w:widowControl/>
        <w:overflowPunct w:val="0"/>
        <w:autoSpaceDE w:val="0"/>
        <w:autoSpaceDN w:val="0"/>
        <w:adjustRightInd w:val="0"/>
        <w:spacing w:after="0" w:line="240" w:lineRule="auto"/>
        <w:jc w:val="left"/>
        <w:textAlignment w:val="baseline"/>
        <w:rPr>
          <w:szCs w:val="21"/>
        </w:rPr>
      </w:pPr>
      <w:r>
        <w:rPr>
          <w:szCs w:val="21"/>
        </w:rPr>
        <w:t xml:space="preserve">According to last meeting agreement: </w:t>
      </w:r>
    </w:p>
    <w:p>
      <w:pPr>
        <w:widowControl/>
        <w:numPr>
          <w:ilvl w:val="0"/>
          <w:numId w:val="8"/>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color w:val="C00000"/>
          <w:kern w:val="0"/>
          <w:szCs w:val="21"/>
        </w:rPr>
        <w:t xml:space="preserve">The new event type includes only one of H1 or H2 thresholds. </w:t>
      </w:r>
      <w:r>
        <w:rPr>
          <w:rFonts w:eastAsia="MS Mincho"/>
          <w:kern w:val="0"/>
          <w:szCs w:val="21"/>
        </w:rPr>
        <w:t xml:space="preserve">  A hysteresis for each threshold will be introduced.  A single time to trigger for the event will be introduced. Rapporteur will implement the solution and we can come back next meeting if there are technical issues.  </w:t>
      </w:r>
    </w:p>
    <w:p>
      <w:pPr>
        <w:widowControl/>
        <w:overflowPunct w:val="0"/>
        <w:autoSpaceDE w:val="0"/>
        <w:autoSpaceDN w:val="0"/>
        <w:adjustRightInd w:val="0"/>
        <w:spacing w:after="0" w:line="240" w:lineRule="auto"/>
        <w:jc w:val="left"/>
        <w:textAlignment w:val="baseline"/>
        <w:rPr>
          <w:szCs w:val="21"/>
        </w:rPr>
      </w:pPr>
      <w:r>
        <w:rPr>
          <w:szCs w:val="21"/>
        </w:rPr>
        <w:t>The entering condition for this new event type is satisfied when both condition of Ax threshold and H1/H2 threshold are fulfilled. Then one issue is what will happen when more than one measurement IDs associated with same MO and same event type but different H1/H2 threshold are configured?</w:t>
      </w:r>
    </w:p>
    <w:p>
      <w:pPr>
        <w:widowControl/>
        <w:overflowPunct w:val="0"/>
        <w:autoSpaceDE w:val="0"/>
        <w:autoSpaceDN w:val="0"/>
        <w:adjustRightInd w:val="0"/>
        <w:spacing w:after="0" w:line="240" w:lineRule="auto"/>
        <w:jc w:val="left"/>
        <w:textAlignment w:val="baseline"/>
        <w:rPr>
          <w:szCs w:val="21"/>
        </w:rPr>
      </w:pPr>
      <w:r>
        <w:rPr>
          <w:szCs w:val="21"/>
        </w:rPr>
        <w:t>Following is an example. The network configures 2 meas</w:t>
      </w:r>
      <w:r>
        <w:rPr>
          <w:rFonts w:hint="eastAsia"/>
          <w:szCs w:val="21"/>
        </w:rPr>
        <w:t>Id</w:t>
      </w:r>
      <w:r>
        <w:rPr>
          <w:szCs w:val="21"/>
        </w:rPr>
        <w:t xml:space="preserve"> that are associated with same MO. Each measId is configured with same event type AxH1 but different Ax threshold and H1 threshold, i.e. event 1 and event 2.</w:t>
      </w:r>
      <w:r>
        <w:rPr>
          <w:rFonts w:hint="eastAsia"/>
          <w:szCs w:val="21"/>
        </w:rPr>
        <w:t xml:space="preserve"> </w:t>
      </w:r>
      <w:r>
        <w:rPr>
          <w:szCs w:val="21"/>
        </w:rPr>
        <w:t>When UE’s height is above the H1 threshold of both of the events, there are three cases depending on whether the Ax threshold for the two events are fulfilled or not:</w:t>
      </w:r>
    </w:p>
    <w:p>
      <w:pPr>
        <w:widowControl/>
        <w:overflowPunct w:val="0"/>
        <w:autoSpaceDE w:val="0"/>
        <w:autoSpaceDN w:val="0"/>
        <w:adjustRightInd w:val="0"/>
        <w:spacing w:after="0" w:line="240" w:lineRule="auto"/>
        <w:ind w:left="420" w:leftChars="200"/>
        <w:jc w:val="left"/>
        <w:textAlignment w:val="baseline"/>
        <w:rPr>
          <w:szCs w:val="21"/>
        </w:rPr>
      </w:pPr>
      <w:r>
        <w:rPr>
          <w:szCs w:val="21"/>
        </w:rPr>
        <w:t>Case 1: Only entry condition of event 1 is fulfilled.</w:t>
      </w:r>
    </w:p>
    <w:p>
      <w:pPr>
        <w:widowControl/>
        <w:overflowPunct w:val="0"/>
        <w:autoSpaceDE w:val="0"/>
        <w:autoSpaceDN w:val="0"/>
        <w:adjustRightInd w:val="0"/>
        <w:spacing w:after="0" w:line="240" w:lineRule="auto"/>
        <w:ind w:left="420" w:leftChars="200"/>
        <w:jc w:val="left"/>
        <w:textAlignment w:val="baseline"/>
        <w:rPr>
          <w:szCs w:val="21"/>
        </w:rPr>
      </w:pPr>
      <w:r>
        <w:rPr>
          <w:szCs w:val="21"/>
        </w:rPr>
        <w:t>Case 2: Only entry condition of event 2 is fulfilled.</w:t>
      </w:r>
    </w:p>
    <w:p>
      <w:pPr>
        <w:widowControl/>
        <w:overflowPunct w:val="0"/>
        <w:autoSpaceDE w:val="0"/>
        <w:autoSpaceDN w:val="0"/>
        <w:adjustRightInd w:val="0"/>
        <w:spacing w:after="0" w:line="240" w:lineRule="auto"/>
        <w:ind w:left="420" w:leftChars="200"/>
        <w:jc w:val="left"/>
        <w:textAlignment w:val="baseline"/>
        <w:rPr>
          <w:szCs w:val="21"/>
        </w:rPr>
      </w:pPr>
      <w:r>
        <w:rPr>
          <w:szCs w:val="21"/>
        </w:rPr>
        <w:t>Case 3: Entry conditions of both events are fulfilled.</w:t>
      </w:r>
    </w:p>
    <w:p>
      <w:pPr>
        <w:widowControl/>
        <w:overflowPunct w:val="0"/>
        <w:autoSpaceDE w:val="0"/>
        <w:autoSpaceDN w:val="0"/>
        <w:adjustRightInd w:val="0"/>
        <w:spacing w:after="120" w:line="240" w:lineRule="auto"/>
        <w:ind w:left="420" w:leftChars="200"/>
        <w:jc w:val="center"/>
        <w:textAlignment w:val="baseline"/>
      </w:pPr>
      <w:r>
        <w:object>
          <v:shape id="_x0000_i1026" o:spt="75" alt="" type="#_x0000_t75" style="height:115.5pt;width:151pt;" o:ole="t" filled="f" o:preferrelative="t" stroked="f" coordsize="21600,21600">
            <v:path/>
            <v:fill on="f" focussize="0,0"/>
            <v:stroke on="f"/>
            <v:imagedata r:id="rId5" o:title=""/>
            <o:lock v:ext="edit" aspectratio="t"/>
            <w10:wrap type="none"/>
            <w10:anchorlock/>
          </v:shape>
          <o:OLEObject Type="Embed" ProgID="Visio.Drawing.15" ShapeID="_x0000_i1026" DrawAspect="Content" ObjectID="_1468075725" r:id="rId4">
            <o:LockedField>false</o:LockedField>
          </o:OLEObject>
        </w:object>
      </w:r>
    </w:p>
    <w:p>
      <w:pPr>
        <w:widowControl/>
        <w:overflowPunct w:val="0"/>
        <w:autoSpaceDE w:val="0"/>
        <w:autoSpaceDN w:val="0"/>
        <w:adjustRightInd w:val="0"/>
        <w:spacing w:after="0" w:line="240" w:lineRule="auto"/>
        <w:ind w:left="420" w:leftChars="200"/>
        <w:jc w:val="center"/>
        <w:textAlignment w:val="baseline"/>
        <w:rPr>
          <w:szCs w:val="21"/>
        </w:rPr>
      </w:pPr>
      <w:r>
        <w:rPr>
          <w:szCs w:val="21"/>
        </w:rPr>
        <w:t>Figure 1: illustration of two event with same event type but different H1 threshold</w:t>
      </w:r>
    </w:p>
    <w:p>
      <w:pPr>
        <w:widowControl/>
        <w:overflowPunct w:val="0"/>
        <w:autoSpaceDE w:val="0"/>
        <w:autoSpaceDN w:val="0"/>
        <w:adjustRightInd w:val="0"/>
        <w:spacing w:after="0" w:line="240" w:lineRule="auto"/>
        <w:jc w:val="left"/>
        <w:textAlignment w:val="baseline"/>
        <w:rPr>
          <w:szCs w:val="21"/>
        </w:rPr>
      </w:pPr>
    </w:p>
    <w:p>
      <w:pPr>
        <w:widowControl/>
        <w:overflowPunct w:val="0"/>
        <w:autoSpaceDE w:val="0"/>
        <w:autoSpaceDN w:val="0"/>
        <w:adjustRightInd w:val="0"/>
        <w:spacing w:after="0" w:line="240" w:lineRule="auto"/>
        <w:jc w:val="left"/>
        <w:textAlignment w:val="baseline"/>
        <w:rPr>
          <w:szCs w:val="21"/>
        </w:rPr>
      </w:pPr>
      <w:r>
        <w:rPr>
          <w:szCs w:val="21"/>
        </w:rPr>
        <w:t>Then, the question is whether the measurement event 1 should be triggered in case 1 and case 3.</w:t>
      </w:r>
    </w:p>
    <w:p>
      <w:pPr>
        <w:widowControl/>
        <w:overflowPunct w:val="0"/>
        <w:autoSpaceDE w:val="0"/>
        <w:autoSpaceDN w:val="0"/>
        <w:adjustRightInd w:val="0"/>
        <w:spacing w:after="0" w:line="240" w:lineRule="auto"/>
        <w:jc w:val="left"/>
        <w:textAlignment w:val="baseline"/>
        <w:rPr>
          <w:szCs w:val="21"/>
        </w:rPr>
      </w:pPr>
      <w:r>
        <w:rPr>
          <w:szCs w:val="21"/>
        </w:rPr>
        <w:t>First of all, if network configures measurement event 1 and event 2 that associated with same MO, it is intended to have different measurement report configuration in different height ranges. From this point of view, it is improper to apply the configurations of event 1 when UE flies above the H1 threshold of event 2.</w:t>
      </w:r>
    </w:p>
    <w:p>
      <w:pPr>
        <w:widowControl/>
        <w:overflowPunct w:val="0"/>
        <w:autoSpaceDE w:val="0"/>
        <w:autoSpaceDN w:val="0"/>
        <w:adjustRightInd w:val="0"/>
        <w:spacing w:after="0" w:line="240" w:lineRule="auto"/>
        <w:jc w:val="left"/>
        <w:textAlignment w:val="baseline"/>
        <w:rPr>
          <w:rFonts w:hint="default" w:eastAsiaTheme="minorEastAsia"/>
          <w:b/>
          <w:bCs/>
          <w:i/>
          <w:iCs/>
          <w:szCs w:val="21"/>
          <w:lang w:val="en-US" w:eastAsia="zh-CN"/>
        </w:rPr>
      </w:pPr>
      <w:r>
        <w:rPr>
          <w:rFonts w:hint="eastAsia"/>
          <w:b/>
          <w:bCs/>
          <w:i/>
          <w:iCs/>
          <w:szCs w:val="21"/>
          <w:lang w:val="en-US" w:eastAsia="zh-CN"/>
        </w:rPr>
        <w:t xml:space="preserve">Observation 1: For two events with the same event type AxHy but with different threshold, the desired behaviour is that the UE shall apply one event configuration for report triggering when the UE is entering the corresponding height threshold, e.g. event 2 in the Figure 1. </w:t>
      </w:r>
    </w:p>
    <w:p>
      <w:pPr>
        <w:widowControl/>
        <w:overflowPunct w:val="0"/>
        <w:autoSpaceDE w:val="0"/>
        <w:autoSpaceDN w:val="0"/>
        <w:adjustRightInd w:val="0"/>
        <w:spacing w:after="0" w:line="240" w:lineRule="auto"/>
        <w:jc w:val="left"/>
        <w:textAlignment w:val="baseline"/>
        <w:rPr>
          <w:rFonts w:hint="default" w:eastAsiaTheme="minorEastAsia"/>
          <w:szCs w:val="21"/>
          <w:lang w:val="en-US" w:eastAsia="zh-CN"/>
        </w:rPr>
      </w:pPr>
      <w:r>
        <w:rPr>
          <w:szCs w:val="21"/>
        </w:rPr>
        <w:t>Secondly, if measurement report triggered by event 1 is transmitted to network</w:t>
      </w:r>
      <w:r>
        <w:rPr>
          <w:rFonts w:hint="eastAsia"/>
          <w:szCs w:val="21"/>
          <w:lang w:val="en-US" w:eastAsia="zh-CN"/>
        </w:rPr>
        <w:t>, e.g. before event 2 is triggered</w:t>
      </w:r>
      <w:r>
        <w:rPr>
          <w:szCs w:val="21"/>
        </w:rPr>
        <w:t xml:space="preserve">, the network may misunderstand the current situation of the UE, including </w:t>
      </w:r>
      <w:r>
        <w:rPr>
          <w:rFonts w:hint="eastAsia"/>
          <w:szCs w:val="21"/>
          <w:lang w:val="en-US" w:eastAsia="zh-CN"/>
        </w:rPr>
        <w:t xml:space="preserve">the </w:t>
      </w:r>
      <w:r>
        <w:rPr>
          <w:szCs w:val="21"/>
        </w:rPr>
        <w:t>current height range. The network may make wrong RRM decision based on the measurement report triggered by event 1</w:t>
      </w:r>
      <w:r>
        <w:rPr>
          <w:rFonts w:hint="eastAsia"/>
          <w:szCs w:val="21"/>
          <w:lang w:val="en-US" w:eastAsia="zh-CN"/>
        </w:rPr>
        <w:t xml:space="preserve"> if the UE</w:t>
      </w:r>
      <w:r>
        <w:rPr>
          <w:rFonts w:hint="default"/>
          <w:szCs w:val="21"/>
          <w:lang w:val="en-US" w:eastAsia="zh-CN"/>
        </w:rPr>
        <w:t>’</w:t>
      </w:r>
      <w:r>
        <w:rPr>
          <w:rFonts w:hint="eastAsia"/>
          <w:szCs w:val="21"/>
          <w:lang w:val="en-US" w:eastAsia="zh-CN"/>
        </w:rPr>
        <w:t>s height information is not included in the triggered report. For example, the network may misunderstand that the UE</w:t>
      </w:r>
      <w:r>
        <w:rPr>
          <w:rFonts w:hint="default"/>
          <w:szCs w:val="21"/>
          <w:lang w:val="en-US" w:eastAsia="zh-CN"/>
        </w:rPr>
        <w:t>’</w:t>
      </w:r>
      <w:r>
        <w:rPr>
          <w:rFonts w:hint="eastAsia"/>
          <w:szCs w:val="21"/>
          <w:lang w:val="en-US" w:eastAsia="zh-CN"/>
        </w:rPr>
        <w:t>s height is above Height_1 but below Height_2, so the network may decide to handover the UE to a target cell deployed in this height range, but the actual UE</w:t>
      </w:r>
      <w:r>
        <w:rPr>
          <w:rFonts w:hint="default"/>
          <w:szCs w:val="21"/>
          <w:lang w:val="en-US" w:eastAsia="zh-CN"/>
        </w:rPr>
        <w:t>’</w:t>
      </w:r>
      <w:r>
        <w:rPr>
          <w:rFonts w:hint="eastAsia"/>
          <w:szCs w:val="21"/>
          <w:lang w:val="en-US" w:eastAsia="zh-CN"/>
        </w:rPr>
        <w:t>s height is above Height_2.</w:t>
      </w:r>
    </w:p>
    <w:p>
      <w:pPr>
        <w:widowControl/>
        <w:overflowPunct w:val="0"/>
        <w:autoSpaceDE w:val="0"/>
        <w:autoSpaceDN w:val="0"/>
        <w:adjustRightInd w:val="0"/>
        <w:spacing w:after="0" w:line="240" w:lineRule="auto"/>
        <w:jc w:val="left"/>
        <w:textAlignment w:val="baseline"/>
        <w:rPr>
          <w:rFonts w:hint="default"/>
          <w:szCs w:val="21"/>
          <w:lang w:val="en-US"/>
        </w:rPr>
      </w:pPr>
      <w:r>
        <w:rPr>
          <w:rFonts w:hint="eastAsia"/>
          <w:b/>
          <w:bCs/>
          <w:i/>
          <w:iCs/>
          <w:szCs w:val="21"/>
          <w:lang w:val="en-US" w:eastAsia="zh-CN"/>
        </w:rPr>
        <w:t>Observation 2: The undesired report triggering may cause the NW to misunderstand the current situation of the UE and make the wrong RRM decision.</w:t>
      </w:r>
    </w:p>
    <w:p>
      <w:pPr>
        <w:widowControl/>
        <w:overflowPunct w:val="0"/>
        <w:autoSpaceDE w:val="0"/>
        <w:autoSpaceDN w:val="0"/>
        <w:adjustRightInd w:val="0"/>
        <w:spacing w:after="0" w:line="240" w:lineRule="auto"/>
        <w:jc w:val="left"/>
        <w:textAlignment w:val="baseline"/>
        <w:rPr>
          <w:szCs w:val="21"/>
        </w:rPr>
      </w:pPr>
      <w:r>
        <w:rPr>
          <w:szCs w:val="21"/>
        </w:rPr>
        <w:t>Thirdly, if measurement reports are triggered by both event 1 and event 2, the transmission of measurement report for event 1 wastes radio resource and increase</w:t>
      </w:r>
      <w:r>
        <w:rPr>
          <w:rFonts w:hint="eastAsia"/>
          <w:szCs w:val="21"/>
          <w:lang w:val="en-US" w:eastAsia="zh-CN"/>
        </w:rPr>
        <w:t>s</w:t>
      </w:r>
      <w:r>
        <w:rPr>
          <w:szCs w:val="21"/>
        </w:rPr>
        <w:t xml:space="preserve"> interference. And if measurement report </w:t>
      </w:r>
      <w:r>
        <w:rPr>
          <w:rFonts w:hint="eastAsia"/>
          <w:szCs w:val="21"/>
          <w:lang w:val="en-US" w:eastAsia="zh-CN"/>
        </w:rPr>
        <w:t xml:space="preserve">is </w:t>
      </w:r>
      <w:r>
        <w:rPr>
          <w:szCs w:val="21"/>
        </w:rPr>
        <w:t xml:space="preserve">triggered by event 2, it </w:t>
      </w:r>
      <w:r>
        <w:rPr>
          <w:rFonts w:hint="eastAsia"/>
          <w:szCs w:val="21"/>
          <w:lang w:val="en-US" w:eastAsia="zh-CN"/>
        </w:rPr>
        <w:t>seems</w:t>
      </w:r>
      <w:r>
        <w:rPr>
          <w:szCs w:val="21"/>
        </w:rPr>
        <w:t xml:space="preserve"> unnecessary to transmit report for event 1.</w:t>
      </w:r>
    </w:p>
    <w:p>
      <w:pPr>
        <w:widowControl/>
        <w:overflowPunct w:val="0"/>
        <w:autoSpaceDE w:val="0"/>
        <w:autoSpaceDN w:val="0"/>
        <w:adjustRightInd w:val="0"/>
        <w:spacing w:after="0" w:line="240" w:lineRule="auto"/>
        <w:jc w:val="left"/>
        <w:textAlignment w:val="baseline"/>
        <w:rPr>
          <w:rFonts w:hint="default"/>
          <w:szCs w:val="21"/>
          <w:lang w:val="en-US"/>
        </w:rPr>
      </w:pPr>
      <w:r>
        <w:rPr>
          <w:rFonts w:hint="eastAsia"/>
          <w:b/>
          <w:bCs/>
          <w:i/>
          <w:iCs/>
          <w:szCs w:val="21"/>
          <w:lang w:val="en-US" w:eastAsia="zh-CN"/>
        </w:rPr>
        <w:t>Observation 3: The redundant measurement reports triggered by both events waste radio resource and increase interference.</w:t>
      </w:r>
    </w:p>
    <w:p>
      <w:pPr>
        <w:widowControl/>
        <w:overflowPunct w:val="0"/>
        <w:autoSpaceDE w:val="0"/>
        <w:autoSpaceDN w:val="0"/>
        <w:adjustRightInd w:val="0"/>
        <w:spacing w:after="0" w:line="240" w:lineRule="auto"/>
        <w:jc w:val="left"/>
        <w:textAlignment w:val="baseline"/>
        <w:rPr>
          <w:szCs w:val="21"/>
        </w:rPr>
      </w:pPr>
      <w:r>
        <w:rPr>
          <w:szCs w:val="21"/>
        </w:rPr>
        <w:t xml:space="preserve">Based on the above discussion, we propose RAN2 to decide whether the measurement event 1 can be triggered in this case. </w:t>
      </w:r>
    </w:p>
    <w:p>
      <w:pPr>
        <w:spacing w:after="0" w:line="240" w:lineRule="auto"/>
        <w:ind w:left="1122" w:hanging="1122" w:hangingChars="532"/>
        <w:jc w:val="left"/>
        <w:rPr>
          <w:rFonts w:hint="eastAsia"/>
          <w:b/>
          <w:bCs/>
          <w:szCs w:val="21"/>
        </w:rPr>
      </w:pPr>
      <w:r>
        <w:rPr>
          <w:b/>
          <w:bCs/>
          <w:szCs w:val="21"/>
        </w:rPr>
        <w:t>Proposal 1: RAN2 to decide whether measurement events can be triggered simultaneously for more than one measIds that are associated with the same MO and configured with same event type AxHy.</w:t>
      </w:r>
      <w:r>
        <w:rPr>
          <w:szCs w:val="21"/>
        </w:rPr>
        <w:t xml:space="preserve"> </w:t>
      </w:r>
    </w:p>
    <w:p>
      <w:pPr>
        <w:pStyle w:val="3"/>
        <w:numPr>
          <w:ilvl w:val="1"/>
          <w:numId w:val="0"/>
        </w:numPr>
        <w:rPr>
          <w:lang w:val="en-US"/>
        </w:rPr>
      </w:pPr>
      <w:r>
        <w:rPr>
          <w:rFonts w:hint="eastAsia"/>
          <w:lang w:val="en-US"/>
        </w:rPr>
        <w:t>2.2 On content of the measurement report triggered by event H1 or H2</w:t>
      </w:r>
    </w:p>
    <w:p>
      <w:pPr>
        <w:spacing w:after="0" w:line="240" w:lineRule="auto"/>
        <w:rPr>
          <w:szCs w:val="21"/>
        </w:rPr>
      </w:pPr>
      <w:r>
        <w:rPr>
          <w:rFonts w:hint="eastAsia"/>
          <w:szCs w:val="21"/>
        </w:rPr>
        <w:t>In NR, for each measurement report triggered by event, the UE shall set the quantities results of concerned cells in the measurement report. For UAV UE, including the RSRP/RSRQ/SINR measurement results in the measurement report shall increase the report size. And considering that more frequent measurement report may be triggered in aerial UE</w:t>
      </w:r>
      <w:r>
        <w:rPr>
          <w:szCs w:val="21"/>
        </w:rPr>
        <w:t>’</w:t>
      </w:r>
      <w:r>
        <w:rPr>
          <w:rFonts w:hint="eastAsia"/>
          <w:szCs w:val="21"/>
        </w:rPr>
        <w:t xml:space="preserve">s environment, it may cause larger interference. Thus, it is agreed in last RAN2 meeting that </w:t>
      </w:r>
      <w:r>
        <w:rPr>
          <w:szCs w:val="21"/>
        </w:rPr>
        <w:t>“</w:t>
      </w:r>
      <w:r>
        <w:rPr>
          <w:rFonts w:hint="eastAsia"/>
          <w:szCs w:val="21"/>
        </w:rPr>
        <w:t>W</w:t>
      </w:r>
      <w:r>
        <w:rPr>
          <w:rFonts w:eastAsia="MS Mincho"/>
          <w:lang w:val="en-GB" w:eastAsia="en-GB"/>
        </w:rPr>
        <w:t>hen event H1 or H2 triggers, the content of the measurement report is configurable by the network (i.e. it can contain UAV UEs height, location information and/or RSRP/RSRQ measurement results).</w:t>
      </w:r>
      <w:r>
        <w:rPr>
          <w:rFonts w:eastAsia="宋体"/>
        </w:rPr>
        <w:t>”</w:t>
      </w:r>
    </w:p>
    <w:p>
      <w:pPr>
        <w:spacing w:after="0" w:line="240" w:lineRule="auto"/>
        <w:rPr>
          <w:szCs w:val="21"/>
        </w:rPr>
      </w:pPr>
      <w:r>
        <w:rPr>
          <w:rFonts w:hint="eastAsia"/>
          <w:szCs w:val="21"/>
        </w:rPr>
        <w:t xml:space="preserve">An new indication (e.g. </w:t>
      </w:r>
      <w:r>
        <w:rPr>
          <w:rFonts w:hint="eastAsia"/>
          <w:i/>
          <w:iCs/>
          <w:szCs w:val="21"/>
        </w:rPr>
        <w:t xml:space="preserve">includeQuantities </w:t>
      </w:r>
      <w:r>
        <w:rPr>
          <w:rFonts w:hint="eastAsia"/>
          <w:szCs w:val="21"/>
        </w:rPr>
        <w:t xml:space="preserve">IE) can be introduced in the </w:t>
      </w:r>
      <w:r>
        <w:rPr>
          <w:rFonts w:hint="eastAsia"/>
          <w:i/>
          <w:iCs/>
          <w:szCs w:val="21"/>
        </w:rPr>
        <w:t xml:space="preserve">ReportConfigNR </w:t>
      </w:r>
      <w:r>
        <w:rPr>
          <w:rFonts w:hint="eastAsia"/>
          <w:szCs w:val="21"/>
        </w:rPr>
        <w:t>IE to indicate whether the RSRP/RSRQ/SINR measurement results shall be included in the measurement report triggered by event H1 or H2. The indication can be introduced by a SEQUENCE structure to separately indicate which quantities results are required in the measurement report.</w:t>
      </w:r>
    </w:p>
    <w:p>
      <w:pPr>
        <w:spacing w:after="0" w:line="240" w:lineRule="auto"/>
        <w:ind w:left="1122" w:hanging="1122" w:hangingChars="532"/>
        <w:jc w:val="left"/>
        <w:rPr>
          <w:rFonts w:hint="eastAsia"/>
          <w:b/>
          <w:bCs/>
          <w:szCs w:val="21"/>
        </w:rPr>
      </w:pPr>
      <w:r>
        <w:rPr>
          <w:rFonts w:hint="eastAsia"/>
          <w:b/>
          <w:bCs/>
          <w:szCs w:val="21"/>
        </w:rPr>
        <w:t xml:space="preserve">Proposal </w:t>
      </w:r>
      <w:r>
        <w:rPr>
          <w:b/>
          <w:bCs/>
          <w:szCs w:val="21"/>
        </w:rPr>
        <w:t>2</w:t>
      </w:r>
      <w:r>
        <w:rPr>
          <w:rFonts w:hint="eastAsia"/>
          <w:b/>
          <w:bCs/>
          <w:szCs w:val="21"/>
        </w:rPr>
        <w:t xml:space="preserve">: An new indication (e.g. </w:t>
      </w:r>
      <w:r>
        <w:rPr>
          <w:rFonts w:hint="eastAsia"/>
          <w:b/>
          <w:bCs/>
          <w:i/>
          <w:iCs/>
          <w:szCs w:val="21"/>
        </w:rPr>
        <w:t xml:space="preserve">includeQuantities </w:t>
      </w:r>
      <w:r>
        <w:rPr>
          <w:rFonts w:hint="eastAsia"/>
          <w:b/>
          <w:bCs/>
          <w:szCs w:val="21"/>
        </w:rPr>
        <w:t xml:space="preserve">IE) is introduced in the </w:t>
      </w:r>
      <w:r>
        <w:rPr>
          <w:rFonts w:hint="eastAsia"/>
          <w:b/>
          <w:bCs/>
          <w:i/>
          <w:iCs/>
          <w:szCs w:val="21"/>
        </w:rPr>
        <w:t xml:space="preserve">ReportConfigNR </w:t>
      </w:r>
      <w:r>
        <w:rPr>
          <w:rFonts w:hint="eastAsia"/>
          <w:b/>
          <w:bCs/>
          <w:szCs w:val="21"/>
        </w:rPr>
        <w:t xml:space="preserve">to indicate whether the RSRP/RSRQ/SINR measurement result is required to be included in the measurement report triggered by event H1 or H2. </w:t>
      </w:r>
    </w:p>
    <w:p>
      <w:pPr>
        <w:spacing w:after="0" w:line="240" w:lineRule="auto"/>
        <w:ind w:left="1122" w:hanging="1122" w:hangingChars="532"/>
        <w:jc w:val="left"/>
        <w:rPr>
          <w:b/>
          <w:bCs/>
          <w:szCs w:val="21"/>
        </w:rPr>
      </w:pPr>
      <w:r>
        <w:rPr>
          <w:rFonts w:hint="eastAsia"/>
          <w:b/>
          <w:bCs/>
          <w:szCs w:val="21"/>
        </w:rPr>
        <w:t xml:space="preserve">Proposal </w:t>
      </w:r>
      <w:r>
        <w:rPr>
          <w:b/>
          <w:bCs/>
          <w:szCs w:val="21"/>
        </w:rPr>
        <w:t>2</w:t>
      </w:r>
      <w:r>
        <w:rPr>
          <w:rFonts w:hint="eastAsia"/>
          <w:b/>
          <w:bCs/>
          <w:szCs w:val="21"/>
          <w:lang w:val="en-US" w:eastAsia="zh-CN"/>
        </w:rPr>
        <w:t>a</w:t>
      </w:r>
      <w:r>
        <w:rPr>
          <w:rFonts w:hint="eastAsia"/>
          <w:b/>
          <w:bCs/>
          <w:szCs w:val="21"/>
        </w:rPr>
        <w:t>: The indication can be introduced by a SEQUENCE structure to separately indicate which quantities results are required in the measurement report.</w:t>
      </w:r>
    </w:p>
    <w:p>
      <w:pPr>
        <w:spacing w:after="0" w:line="240" w:lineRule="auto"/>
        <w:rPr>
          <w:szCs w:val="21"/>
        </w:rPr>
      </w:pPr>
      <w:r>
        <w:rPr>
          <w:rFonts w:hint="eastAsia"/>
          <w:szCs w:val="21"/>
        </w:rPr>
        <w:t xml:space="preserve">Currently in NR, the NW can configure </w:t>
      </w:r>
      <w:r>
        <w:rPr>
          <w:rFonts w:hint="eastAsia"/>
          <w:i/>
          <w:iCs/>
          <w:szCs w:val="21"/>
        </w:rPr>
        <w:t xml:space="preserve">includeCommonLocationInfo </w:t>
      </w:r>
      <w:r>
        <w:rPr>
          <w:rFonts w:hint="eastAsia"/>
          <w:szCs w:val="21"/>
        </w:rPr>
        <w:t xml:space="preserve">IE in </w:t>
      </w:r>
      <w:r>
        <w:rPr>
          <w:rFonts w:hint="eastAsia"/>
          <w:i/>
          <w:iCs/>
          <w:szCs w:val="21"/>
        </w:rPr>
        <w:t xml:space="preserve">ReportConfigNR </w:t>
      </w:r>
      <w:r>
        <w:rPr>
          <w:rFonts w:hint="eastAsia"/>
          <w:szCs w:val="21"/>
        </w:rPr>
        <w:t xml:space="preserve">to indicate whether to include the location information in the measurement report.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b/>
                <w:bCs/>
                <w:lang w:eastAsia="ja-JP"/>
              </w:rPr>
            </w:pPr>
            <w:bookmarkStart w:id="3" w:name="_Toc124712769"/>
            <w:r>
              <w:rPr>
                <w:rFonts w:hint="eastAsia"/>
                <w:b/>
                <w:bCs/>
                <w:color w:val="0070C0"/>
                <w:szCs w:val="21"/>
              </w:rPr>
              <w:t>From TS 38.331</w:t>
            </w:r>
          </w:p>
          <w:p>
            <w:pPr>
              <w:pStyle w:val="4"/>
              <w:numPr>
                <w:ilvl w:val="2"/>
                <w:numId w:val="0"/>
              </w:numPr>
              <w:tabs>
                <w:tab w:val="left" w:pos="575"/>
              </w:tabs>
              <w:spacing w:before="120" w:after="180" w:line="240" w:lineRule="auto"/>
              <w:rPr>
                <w:rFonts w:eastAsia="Times New Roman"/>
                <w:b w:val="0"/>
                <w:bCs w:val="0"/>
                <w:sz w:val="28"/>
                <w:szCs w:val="20"/>
                <w:lang w:eastAsia="ja-JP"/>
              </w:rPr>
            </w:pPr>
            <w:r>
              <w:rPr>
                <w:rFonts w:eastAsia="Times New Roman"/>
                <w:b w:val="0"/>
                <w:bCs w:val="0"/>
                <w:sz w:val="28"/>
                <w:szCs w:val="20"/>
                <w:lang w:eastAsia="ja-JP"/>
              </w:rPr>
              <w:t>5.5.5</w:t>
            </w:r>
            <w:r>
              <w:rPr>
                <w:rFonts w:eastAsia="Times New Roman"/>
                <w:b w:val="0"/>
                <w:bCs w:val="0"/>
                <w:sz w:val="28"/>
                <w:szCs w:val="20"/>
                <w:lang w:eastAsia="ja-JP"/>
              </w:rPr>
              <w:tab/>
            </w:r>
            <w:r>
              <w:rPr>
                <w:rFonts w:eastAsia="Times New Roman"/>
                <w:b w:val="0"/>
                <w:bCs w:val="0"/>
                <w:sz w:val="28"/>
                <w:szCs w:val="20"/>
                <w:lang w:eastAsia="ja-JP"/>
              </w:rPr>
              <w:t>Measurement reporting</w:t>
            </w:r>
            <w:bookmarkEnd w:id="3"/>
          </w:p>
          <w:p>
            <w:pPr>
              <w:pStyle w:val="5"/>
              <w:numPr>
                <w:ilvl w:val="2"/>
                <w:numId w:val="0"/>
              </w:numPr>
              <w:tabs>
                <w:tab w:val="left" w:pos="575"/>
                <w:tab w:val="clear" w:pos="864"/>
                <w:tab w:val="clear" w:pos="2071"/>
              </w:tabs>
              <w:spacing w:before="120" w:after="180" w:line="240" w:lineRule="auto"/>
              <w:rPr>
                <w:rFonts w:eastAsia="Times New Roman"/>
                <w:b w:val="0"/>
                <w:bCs w:val="0"/>
                <w:sz w:val="24"/>
                <w:szCs w:val="20"/>
                <w:lang w:eastAsia="ja-JP"/>
              </w:rPr>
            </w:pPr>
            <w:bookmarkStart w:id="4" w:name="_Toc124712770"/>
            <w:bookmarkStart w:id="5" w:name="_Toc60776901"/>
            <w:r>
              <w:rPr>
                <w:rFonts w:eastAsia="Times New Roman"/>
                <w:b w:val="0"/>
                <w:bCs w:val="0"/>
                <w:sz w:val="24"/>
                <w:szCs w:val="20"/>
                <w:lang w:eastAsia="ja-JP"/>
              </w:rPr>
              <w:t>5.5.5.1</w:t>
            </w:r>
            <w:r>
              <w:rPr>
                <w:rFonts w:eastAsia="Times New Roman"/>
                <w:b w:val="0"/>
                <w:bCs w:val="0"/>
                <w:sz w:val="24"/>
                <w:szCs w:val="20"/>
                <w:lang w:eastAsia="ja-JP"/>
              </w:rPr>
              <w:tab/>
            </w:r>
            <w:r>
              <w:rPr>
                <w:rFonts w:eastAsia="Times New Roman"/>
                <w:b w:val="0"/>
                <w:bCs w:val="0"/>
                <w:sz w:val="24"/>
                <w:szCs w:val="20"/>
                <w:lang w:eastAsia="ja-JP"/>
              </w:rPr>
              <w:t>General</w:t>
            </w:r>
            <w:bookmarkEnd w:id="4"/>
            <w:bookmarkEnd w:id="5"/>
          </w:p>
          <w:p>
            <w:pPr>
              <w:pStyle w:val="94"/>
            </w:pPr>
            <w:r>
              <w:t>1&gt;</w:t>
            </w:r>
            <w:r>
              <w:tab/>
            </w:r>
            <w:r>
              <w:t xml:space="preserve">if the </w:t>
            </w:r>
            <w:r>
              <w:rPr>
                <w:i/>
                <w:iCs/>
                <w:highlight w:val="yellow"/>
              </w:rPr>
              <w:t>includeCommonLocationInfo</w:t>
            </w:r>
            <w:r>
              <w:rPr>
                <w:i/>
                <w:iCs/>
              </w:rPr>
              <w:t xml:space="preserve">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106"/>
            </w:pPr>
            <w:r>
              <w:t>2&gt;</w:t>
            </w:r>
            <w:r>
              <w:tab/>
            </w:r>
            <w:r>
              <w:t xml:space="preserve">include the </w:t>
            </w:r>
            <w:r>
              <w:rPr>
                <w:i/>
              </w:rPr>
              <w:t>locationTimestamp</w:t>
            </w:r>
            <w:r>
              <w:t>;</w:t>
            </w:r>
          </w:p>
          <w:p>
            <w:pPr>
              <w:pStyle w:val="106"/>
            </w:pPr>
            <w:r>
              <w:t>2&gt;</w:t>
            </w:r>
            <w:r>
              <w:tab/>
            </w:r>
            <w:r>
              <w:t xml:space="preserve">include the </w:t>
            </w:r>
            <w:r>
              <w:rPr>
                <w:i/>
                <w:iCs/>
              </w:rPr>
              <w:t>locationCoordinate</w:t>
            </w:r>
            <w:r>
              <w:t>, if available;</w:t>
            </w:r>
          </w:p>
          <w:p>
            <w:pPr>
              <w:pStyle w:val="106"/>
            </w:pPr>
            <w:r>
              <w:t>2&gt;</w:t>
            </w:r>
            <w:r>
              <w:tab/>
            </w:r>
            <w:r>
              <w:t xml:space="preserve">include the </w:t>
            </w:r>
            <w:r>
              <w:rPr>
                <w:i/>
                <w:iCs/>
              </w:rPr>
              <w:t>velocityEstimate</w:t>
            </w:r>
            <w:r>
              <w:t>, if available;</w:t>
            </w:r>
          </w:p>
          <w:p>
            <w:pPr>
              <w:pStyle w:val="106"/>
            </w:pPr>
            <w:r>
              <w:t>2&gt;</w:t>
            </w:r>
            <w:r>
              <w:tab/>
            </w:r>
            <w:r>
              <w:t xml:space="preserve">include the </w:t>
            </w:r>
            <w:r>
              <w:rPr>
                <w:i/>
                <w:iCs/>
              </w:rPr>
              <w:t>locationError</w:t>
            </w:r>
            <w:r>
              <w:t>, if available;</w:t>
            </w:r>
          </w:p>
          <w:p>
            <w:pPr>
              <w:pStyle w:val="106"/>
            </w:pPr>
            <w:r>
              <w:t>2&gt;</w:t>
            </w:r>
            <w:r>
              <w:tab/>
            </w:r>
            <w:r>
              <w:t xml:space="preserve">include the </w:t>
            </w:r>
            <w:r>
              <w:rPr>
                <w:i/>
                <w:iCs/>
              </w:rPr>
              <w:t>locationSource</w:t>
            </w:r>
            <w:r>
              <w:t>, if available;</w:t>
            </w:r>
          </w:p>
          <w:p>
            <w:pPr>
              <w:pStyle w:val="106"/>
              <w:rPr>
                <w:sz w:val="21"/>
                <w:szCs w:val="21"/>
                <w:lang w:val="en-US" w:eastAsia="zh-CN"/>
              </w:rPr>
            </w:pPr>
            <w:r>
              <w:t>2&gt;</w:t>
            </w:r>
            <w:r>
              <w:tab/>
            </w:r>
            <w:r>
              <w:t xml:space="preserve">if available, include the </w:t>
            </w:r>
            <w:r>
              <w:rPr>
                <w:i/>
                <w:iCs/>
              </w:rPr>
              <w:t>gnss-TOD-msec</w:t>
            </w:r>
            <w:r>
              <w:t>,</w:t>
            </w:r>
          </w:p>
        </w:tc>
      </w:tr>
    </w:tbl>
    <w:p>
      <w:pPr>
        <w:widowControl/>
        <w:overflowPunct w:val="0"/>
        <w:autoSpaceDE w:val="0"/>
        <w:autoSpaceDN w:val="0"/>
        <w:adjustRightInd w:val="0"/>
        <w:spacing w:after="0" w:line="240" w:lineRule="auto"/>
        <w:jc w:val="left"/>
        <w:textAlignment w:val="baseline"/>
        <w:rPr>
          <w:rFonts w:eastAsia="Times New Roman"/>
          <w:kern w:val="0"/>
          <w:szCs w:val="21"/>
          <w:lang w:eastAsia="ja-JP"/>
        </w:rPr>
      </w:pPr>
      <w:r>
        <w:rPr>
          <w:rFonts w:hint="eastAsia"/>
          <w:szCs w:val="21"/>
        </w:rPr>
        <w:t>The p</w:t>
      </w:r>
      <w:r>
        <w:rPr>
          <w:szCs w:val="21"/>
        </w:rPr>
        <w:t xml:space="preserve">arameters from </w:t>
      </w:r>
      <w:r>
        <w:rPr>
          <w:i/>
          <w:iCs/>
          <w:szCs w:val="21"/>
        </w:rPr>
        <w:t>CommonLocationInfo</w:t>
      </w:r>
      <w:r>
        <w:rPr>
          <w:rFonts w:hint="eastAsia"/>
          <w:i/>
          <w:iCs/>
          <w:szCs w:val="21"/>
        </w:rPr>
        <w:t xml:space="preserve"> </w:t>
      </w:r>
      <w:r>
        <w:rPr>
          <w:rFonts w:hint="eastAsia"/>
          <w:szCs w:val="21"/>
        </w:rPr>
        <w:t xml:space="preserve">are related to location info, location time and velocity info, which could be useful for UAV UE. We think the current indication (i.e. </w:t>
      </w:r>
      <w:r>
        <w:rPr>
          <w:rFonts w:hint="eastAsia"/>
          <w:i/>
          <w:iCs/>
          <w:szCs w:val="21"/>
        </w:rPr>
        <w:t xml:space="preserve">includeCommonLocationInfo </w:t>
      </w:r>
      <w:r>
        <w:rPr>
          <w:rFonts w:hint="eastAsia"/>
          <w:szCs w:val="21"/>
        </w:rPr>
        <w:t>IE) can be reused for measurement report triggered by event H1 or H2. If any other parameters are required for UAV UE</w:t>
      </w:r>
      <w:r>
        <w:rPr>
          <w:szCs w:val="21"/>
        </w:rPr>
        <w:t>’</w:t>
      </w:r>
      <w:r>
        <w:rPr>
          <w:rFonts w:hint="eastAsia"/>
          <w:szCs w:val="21"/>
        </w:rPr>
        <w:t>s location reporting, the requirement should be firstly evaluated on SA2. And then we can consider the signaling design at RAN2.</w:t>
      </w:r>
    </w:p>
    <w:p>
      <w:pPr>
        <w:spacing w:after="0" w:line="240" w:lineRule="auto"/>
        <w:ind w:left="1122" w:hanging="1122" w:hangingChars="532"/>
        <w:jc w:val="left"/>
        <w:rPr>
          <w:b/>
          <w:bCs/>
          <w:szCs w:val="21"/>
        </w:rPr>
      </w:pPr>
      <w:r>
        <w:rPr>
          <w:rFonts w:hint="eastAsia"/>
          <w:b/>
          <w:bCs/>
          <w:szCs w:val="21"/>
        </w:rPr>
        <w:t xml:space="preserve">Proposal </w:t>
      </w:r>
      <w:r>
        <w:rPr>
          <w:b/>
          <w:bCs/>
          <w:szCs w:val="21"/>
        </w:rPr>
        <w:t>3</w:t>
      </w:r>
      <w:r>
        <w:rPr>
          <w:rFonts w:hint="eastAsia"/>
          <w:b/>
          <w:bCs/>
          <w:szCs w:val="21"/>
        </w:rPr>
        <w:t xml:space="preserve">: The </w:t>
      </w:r>
      <w:r>
        <w:rPr>
          <w:rFonts w:hint="eastAsia"/>
          <w:b/>
          <w:bCs/>
          <w:i/>
          <w:iCs/>
          <w:szCs w:val="21"/>
        </w:rPr>
        <w:t xml:space="preserve">includeCommonLocationInfo </w:t>
      </w:r>
      <w:r>
        <w:rPr>
          <w:rFonts w:hint="eastAsia"/>
          <w:b/>
          <w:bCs/>
          <w:szCs w:val="21"/>
        </w:rPr>
        <w:t xml:space="preserve">IE in the </w:t>
      </w:r>
      <w:r>
        <w:rPr>
          <w:rFonts w:hint="eastAsia"/>
          <w:b/>
          <w:bCs/>
          <w:i/>
          <w:iCs/>
          <w:szCs w:val="21"/>
        </w:rPr>
        <w:t xml:space="preserve">ReportConfigNR </w:t>
      </w:r>
      <w:r>
        <w:rPr>
          <w:rFonts w:hint="eastAsia"/>
          <w:b/>
          <w:bCs/>
          <w:szCs w:val="21"/>
        </w:rPr>
        <w:t>is reused to indicate whether the location information (if available) is required to be included in the measurement report triggered by event H1 or H2.</w:t>
      </w:r>
    </w:p>
    <w:p>
      <w:pPr>
        <w:spacing w:after="0" w:line="240" w:lineRule="auto"/>
        <w:ind w:left="1122" w:hanging="1122" w:hangingChars="532"/>
        <w:jc w:val="left"/>
        <w:rPr>
          <w:b/>
          <w:bCs/>
          <w:szCs w:val="21"/>
        </w:rPr>
      </w:pPr>
      <w:r>
        <w:rPr>
          <w:rFonts w:hint="eastAsia"/>
          <w:b/>
          <w:bCs/>
          <w:szCs w:val="21"/>
        </w:rPr>
        <w:t xml:space="preserve">Proposal </w:t>
      </w:r>
      <w:r>
        <w:rPr>
          <w:b/>
          <w:bCs/>
          <w:szCs w:val="21"/>
        </w:rPr>
        <w:t>4</w:t>
      </w:r>
      <w:r>
        <w:rPr>
          <w:rFonts w:hint="eastAsia"/>
          <w:b/>
          <w:bCs/>
          <w:szCs w:val="21"/>
        </w:rPr>
        <w:t xml:space="preserve">: The parameters in the </w:t>
      </w:r>
      <w:r>
        <w:rPr>
          <w:rFonts w:hint="eastAsia"/>
          <w:b/>
          <w:bCs/>
          <w:i/>
          <w:iCs/>
          <w:szCs w:val="21"/>
        </w:rPr>
        <w:t xml:space="preserve">CommonLocationInfo </w:t>
      </w:r>
      <w:r>
        <w:rPr>
          <w:rFonts w:hint="eastAsia"/>
          <w:b/>
          <w:bCs/>
          <w:szCs w:val="21"/>
        </w:rPr>
        <w:t>IE are reused for UAV UEs</w:t>
      </w:r>
      <w:r>
        <w:rPr>
          <w:b/>
          <w:bCs/>
          <w:szCs w:val="21"/>
        </w:rPr>
        <w:t>’</w:t>
      </w:r>
      <w:r>
        <w:rPr>
          <w:rFonts w:hint="eastAsia"/>
          <w:b/>
          <w:bCs/>
          <w:szCs w:val="21"/>
        </w:rPr>
        <w:t xml:space="preserve"> location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overflowPunct w:val="0"/>
        <w:autoSpaceDE w:val="0"/>
        <w:autoSpaceDN w:val="0"/>
        <w:adjustRightInd w:val="0"/>
        <w:spacing w:after="0" w:line="240" w:lineRule="auto"/>
        <w:jc w:val="left"/>
        <w:textAlignment w:val="baseline"/>
        <w:rPr>
          <w:rFonts w:hint="default" w:eastAsiaTheme="minorEastAsia"/>
          <w:b/>
          <w:bCs/>
          <w:i/>
          <w:iCs/>
          <w:szCs w:val="21"/>
          <w:lang w:val="en-US" w:eastAsia="zh-CN"/>
        </w:rPr>
      </w:pPr>
      <w:r>
        <w:rPr>
          <w:rFonts w:hint="eastAsia"/>
          <w:b/>
          <w:bCs/>
          <w:i/>
          <w:iCs/>
          <w:szCs w:val="21"/>
          <w:lang w:val="en-US" w:eastAsia="zh-CN"/>
        </w:rPr>
        <w:t xml:space="preserve">Observation 1: For two events with the same event type AxHy but with different threshold, the desired behaviour is that the UE shall apply one event configuration for report triggering when the UE is entering the corresponding height threshold, e.g. event 2 in the Figure 1. </w:t>
      </w:r>
    </w:p>
    <w:p>
      <w:pPr>
        <w:widowControl/>
        <w:overflowPunct w:val="0"/>
        <w:autoSpaceDE w:val="0"/>
        <w:autoSpaceDN w:val="0"/>
        <w:adjustRightInd w:val="0"/>
        <w:spacing w:after="0" w:line="240" w:lineRule="auto"/>
        <w:jc w:val="left"/>
        <w:textAlignment w:val="baseline"/>
        <w:rPr>
          <w:rFonts w:hint="default"/>
          <w:szCs w:val="21"/>
          <w:lang w:val="en-US"/>
        </w:rPr>
      </w:pPr>
      <w:r>
        <w:rPr>
          <w:rFonts w:hint="eastAsia"/>
          <w:b/>
          <w:bCs/>
          <w:i/>
          <w:iCs/>
          <w:szCs w:val="21"/>
          <w:lang w:val="en-US" w:eastAsia="zh-CN"/>
        </w:rPr>
        <w:t>Observation 2: The undesired report triggering may cause the NW to misunderstand the current situation of the UE and make the wrong RRM decision.</w:t>
      </w:r>
    </w:p>
    <w:p>
      <w:pPr>
        <w:widowControl/>
        <w:overflowPunct w:val="0"/>
        <w:autoSpaceDE w:val="0"/>
        <w:autoSpaceDN w:val="0"/>
        <w:adjustRightInd w:val="0"/>
        <w:spacing w:after="0" w:line="240" w:lineRule="auto"/>
        <w:jc w:val="left"/>
        <w:textAlignment w:val="baseline"/>
        <w:rPr>
          <w:rFonts w:hint="default"/>
          <w:szCs w:val="21"/>
          <w:lang w:val="en-US"/>
        </w:rPr>
      </w:pPr>
      <w:r>
        <w:rPr>
          <w:rFonts w:hint="eastAsia"/>
          <w:b/>
          <w:bCs/>
          <w:i/>
          <w:iCs/>
          <w:szCs w:val="21"/>
          <w:lang w:val="en-US" w:eastAsia="zh-CN"/>
        </w:rPr>
        <w:t>Observation 3: The redundant measurement reports triggered by both events waste radio resource and increase interference.</w:t>
      </w:r>
    </w:p>
    <w:p>
      <w:pPr>
        <w:spacing w:after="0" w:line="240" w:lineRule="auto"/>
        <w:ind w:left="1122" w:hanging="1122" w:hangingChars="532"/>
        <w:jc w:val="left"/>
        <w:rPr>
          <w:rFonts w:hint="eastAsia"/>
          <w:b/>
          <w:bCs/>
          <w:szCs w:val="21"/>
        </w:rPr>
      </w:pPr>
      <w:r>
        <w:rPr>
          <w:b/>
          <w:bCs/>
          <w:szCs w:val="21"/>
        </w:rPr>
        <w:t>Proposal 1: RAN2 to decide whether measurement events can be triggered simultaneously for more than one measIds th</w:t>
      </w:r>
      <w:bookmarkStart w:id="6" w:name="_GoBack"/>
      <w:bookmarkEnd w:id="6"/>
      <w:r>
        <w:rPr>
          <w:b/>
          <w:bCs/>
          <w:szCs w:val="21"/>
        </w:rPr>
        <w:t>at are associated with the same MO and configured with same event type AxHy.</w:t>
      </w:r>
      <w:r>
        <w:rPr>
          <w:szCs w:val="21"/>
        </w:rPr>
        <w:t xml:space="preserve"> </w:t>
      </w:r>
    </w:p>
    <w:p>
      <w:pPr>
        <w:spacing w:after="0" w:line="240" w:lineRule="auto"/>
        <w:ind w:left="1122" w:hanging="1122" w:hangingChars="532"/>
        <w:jc w:val="left"/>
        <w:rPr>
          <w:rFonts w:hint="eastAsia"/>
          <w:b/>
          <w:bCs/>
          <w:szCs w:val="21"/>
        </w:rPr>
      </w:pPr>
      <w:r>
        <w:rPr>
          <w:rFonts w:hint="eastAsia"/>
          <w:b/>
          <w:bCs/>
          <w:szCs w:val="21"/>
        </w:rPr>
        <w:t xml:space="preserve">Proposal </w:t>
      </w:r>
      <w:r>
        <w:rPr>
          <w:b/>
          <w:bCs/>
          <w:szCs w:val="21"/>
        </w:rPr>
        <w:t>2</w:t>
      </w:r>
      <w:r>
        <w:rPr>
          <w:rFonts w:hint="eastAsia"/>
          <w:b/>
          <w:bCs/>
          <w:szCs w:val="21"/>
        </w:rPr>
        <w:t xml:space="preserve">: An new indication (e.g. </w:t>
      </w:r>
      <w:r>
        <w:rPr>
          <w:rFonts w:hint="eastAsia"/>
          <w:b/>
          <w:bCs/>
          <w:i/>
          <w:iCs/>
          <w:szCs w:val="21"/>
        </w:rPr>
        <w:t xml:space="preserve">includeQuantities </w:t>
      </w:r>
      <w:r>
        <w:rPr>
          <w:rFonts w:hint="eastAsia"/>
          <w:b/>
          <w:bCs/>
          <w:szCs w:val="21"/>
        </w:rPr>
        <w:t xml:space="preserve">IE) is introduced in the </w:t>
      </w:r>
      <w:r>
        <w:rPr>
          <w:rFonts w:hint="eastAsia"/>
          <w:b/>
          <w:bCs/>
          <w:i/>
          <w:iCs/>
          <w:szCs w:val="21"/>
        </w:rPr>
        <w:t xml:space="preserve">ReportConfigNR </w:t>
      </w:r>
      <w:r>
        <w:rPr>
          <w:rFonts w:hint="eastAsia"/>
          <w:b/>
          <w:bCs/>
          <w:szCs w:val="21"/>
        </w:rPr>
        <w:t xml:space="preserve">to indicate whether the RSRP/RSRQ/SINR measurement result is required to be included in the measurement report triggered by event H1 or H2. </w:t>
      </w:r>
    </w:p>
    <w:p>
      <w:pPr>
        <w:spacing w:after="0" w:line="240" w:lineRule="auto"/>
        <w:ind w:left="1122" w:hanging="1122" w:hangingChars="532"/>
        <w:jc w:val="left"/>
        <w:rPr>
          <w:b/>
          <w:bCs/>
          <w:szCs w:val="21"/>
        </w:rPr>
      </w:pPr>
      <w:r>
        <w:rPr>
          <w:rFonts w:hint="eastAsia"/>
          <w:b/>
          <w:bCs/>
          <w:szCs w:val="21"/>
        </w:rPr>
        <w:t xml:space="preserve">Proposal </w:t>
      </w:r>
      <w:r>
        <w:rPr>
          <w:b/>
          <w:bCs/>
          <w:szCs w:val="21"/>
        </w:rPr>
        <w:t>2</w:t>
      </w:r>
      <w:r>
        <w:rPr>
          <w:rFonts w:hint="eastAsia"/>
          <w:b/>
          <w:bCs/>
          <w:szCs w:val="21"/>
          <w:lang w:val="en-US" w:eastAsia="zh-CN"/>
        </w:rPr>
        <w:t>a</w:t>
      </w:r>
      <w:r>
        <w:rPr>
          <w:rFonts w:hint="eastAsia"/>
          <w:b/>
          <w:bCs/>
          <w:szCs w:val="21"/>
        </w:rPr>
        <w:t>: The indication can be introduced by a SEQUENCE structure to separately indicate which quantities results are required in the measurement report.</w:t>
      </w:r>
    </w:p>
    <w:p>
      <w:pPr>
        <w:spacing w:after="0" w:line="240" w:lineRule="auto"/>
        <w:ind w:left="1122" w:hanging="1122" w:hangingChars="532"/>
        <w:jc w:val="left"/>
        <w:rPr>
          <w:b/>
          <w:bCs/>
          <w:szCs w:val="21"/>
        </w:rPr>
      </w:pPr>
      <w:r>
        <w:rPr>
          <w:rFonts w:hint="eastAsia"/>
          <w:b/>
          <w:bCs/>
          <w:szCs w:val="21"/>
        </w:rPr>
        <w:t xml:space="preserve">Proposal </w:t>
      </w:r>
      <w:r>
        <w:rPr>
          <w:b/>
          <w:bCs/>
          <w:szCs w:val="21"/>
        </w:rPr>
        <w:t>3</w:t>
      </w:r>
      <w:r>
        <w:rPr>
          <w:rFonts w:hint="eastAsia"/>
          <w:b/>
          <w:bCs/>
          <w:szCs w:val="21"/>
        </w:rPr>
        <w:t xml:space="preserve">: The </w:t>
      </w:r>
      <w:r>
        <w:rPr>
          <w:rFonts w:hint="eastAsia"/>
          <w:b/>
          <w:bCs/>
          <w:i/>
          <w:iCs/>
          <w:szCs w:val="21"/>
        </w:rPr>
        <w:t xml:space="preserve">includeCommonLocationInfo </w:t>
      </w:r>
      <w:r>
        <w:rPr>
          <w:rFonts w:hint="eastAsia"/>
          <w:b/>
          <w:bCs/>
          <w:szCs w:val="21"/>
        </w:rPr>
        <w:t xml:space="preserve">IE in the </w:t>
      </w:r>
      <w:r>
        <w:rPr>
          <w:rFonts w:hint="eastAsia"/>
          <w:b/>
          <w:bCs/>
          <w:i/>
          <w:iCs/>
          <w:szCs w:val="21"/>
        </w:rPr>
        <w:t xml:space="preserve">ReportConfigNR </w:t>
      </w:r>
      <w:r>
        <w:rPr>
          <w:rFonts w:hint="eastAsia"/>
          <w:b/>
          <w:bCs/>
          <w:szCs w:val="21"/>
        </w:rPr>
        <w:t>is reused to indicate whether the location information (if available) is required to be included in the measurement report triggered by event H1 or H2.</w:t>
      </w:r>
    </w:p>
    <w:p>
      <w:pPr>
        <w:spacing w:after="0" w:line="240" w:lineRule="auto"/>
        <w:ind w:left="1122" w:hanging="1122" w:hangingChars="532"/>
        <w:jc w:val="left"/>
        <w:rPr>
          <w:b/>
          <w:bCs/>
          <w:szCs w:val="21"/>
        </w:rPr>
      </w:pPr>
      <w:r>
        <w:rPr>
          <w:rFonts w:hint="eastAsia"/>
          <w:b/>
          <w:bCs/>
          <w:szCs w:val="21"/>
        </w:rPr>
        <w:t xml:space="preserve">Proposal </w:t>
      </w:r>
      <w:r>
        <w:rPr>
          <w:b/>
          <w:bCs/>
          <w:szCs w:val="21"/>
        </w:rPr>
        <w:t>4</w:t>
      </w:r>
      <w:r>
        <w:rPr>
          <w:rFonts w:hint="eastAsia"/>
          <w:b/>
          <w:bCs/>
          <w:szCs w:val="21"/>
        </w:rPr>
        <w:t xml:space="preserve">: The parameters in the </w:t>
      </w:r>
      <w:r>
        <w:rPr>
          <w:rFonts w:hint="eastAsia"/>
          <w:b/>
          <w:bCs/>
          <w:i/>
          <w:iCs/>
          <w:szCs w:val="21"/>
        </w:rPr>
        <w:t xml:space="preserve">CommonLocationInfo </w:t>
      </w:r>
      <w:r>
        <w:rPr>
          <w:rFonts w:hint="eastAsia"/>
          <w:b/>
          <w:bCs/>
          <w:szCs w:val="21"/>
        </w:rPr>
        <w:t>IE are reused for UAV UEs</w:t>
      </w:r>
      <w:r>
        <w:rPr>
          <w:b/>
          <w:bCs/>
          <w:szCs w:val="21"/>
        </w:rPr>
        <w:t>’</w:t>
      </w:r>
      <w:r>
        <w:rPr>
          <w:rFonts w:hint="eastAsia"/>
          <w:b/>
          <w:bCs/>
          <w:szCs w:val="21"/>
        </w:rPr>
        <w:t xml:space="preserve"> location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9"/>
        </w:numPr>
        <w:overflowPunct w:val="0"/>
        <w:autoSpaceDE w:val="0"/>
        <w:autoSpaceDN w:val="0"/>
        <w:adjustRightInd w:val="0"/>
        <w:spacing w:after="120" w:line="240" w:lineRule="auto"/>
        <w:textAlignment w:val="baseline"/>
      </w:pPr>
      <w:r>
        <w:rPr>
          <w:rFonts w:hint="eastAsia"/>
        </w:rPr>
        <w:t>RAN2#122 chairman notes</w:t>
      </w:r>
    </w:p>
    <w:p>
      <w:pPr>
        <w:numPr>
          <w:ilvl w:val="0"/>
          <w:numId w:val="9"/>
        </w:numPr>
        <w:overflowPunct w:val="0"/>
        <w:autoSpaceDE w:val="0"/>
        <w:autoSpaceDN w:val="0"/>
        <w:adjustRightInd w:val="0"/>
        <w:spacing w:after="120" w:line="240" w:lineRule="auto"/>
        <w:textAlignment w:val="baseline"/>
      </w:pPr>
      <w:r>
        <w:rPr>
          <w:rFonts w:hint="eastAsia"/>
        </w:rPr>
        <w:t>R</w:t>
      </w:r>
      <w:r>
        <w:t>AN2#123 chairman notes</w:t>
      </w:r>
    </w:p>
    <w:sectPr>
      <w:pgSz w:w="11906" w:h="16838"/>
      <w:pgMar w:top="1417"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Segoe Print"/>
    <w:panose1 w:val="02020609040205080304"/>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6C2721D"/>
    <w:multiLevelType w:val="multilevel"/>
    <w:tmpl w:val="36C2721D"/>
    <w:lvl w:ilvl="0" w:tentative="0">
      <w:start w:val="2"/>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763755"/>
    <w:multiLevelType w:val="multilevel"/>
    <w:tmpl w:val="5D763755"/>
    <w:lvl w:ilvl="0" w:tentative="0">
      <w:start w:val="1"/>
      <w:numFmt w:val="decimal"/>
      <w:pStyle w:val="28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28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5AB7577"/>
    <w:multiLevelType w:val="multilevel"/>
    <w:tmpl w:val="75AB757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num w:numId="1">
    <w:abstractNumId w:val="0"/>
  </w:num>
  <w:num w:numId="2">
    <w:abstractNumId w:val="5"/>
  </w:num>
  <w:num w:numId="3">
    <w:abstractNumId w:val="7"/>
  </w:num>
  <w:num w:numId="4">
    <w:abstractNumId w:val="6"/>
  </w:num>
  <w:num w:numId="5">
    <w:abstractNumId w:val="1"/>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1986"/>
    <w:rsid w:val="00035EF9"/>
    <w:rsid w:val="00037001"/>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241E"/>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2665"/>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6211"/>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451F"/>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1365"/>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0BB4"/>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5363"/>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1C58"/>
    <w:rsid w:val="004B2B05"/>
    <w:rsid w:val="004B2BBA"/>
    <w:rsid w:val="004B71F4"/>
    <w:rsid w:val="004B76A2"/>
    <w:rsid w:val="004B76B6"/>
    <w:rsid w:val="004C0B5E"/>
    <w:rsid w:val="004C16C3"/>
    <w:rsid w:val="004C16F8"/>
    <w:rsid w:val="004C1B17"/>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48C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1CE2"/>
    <w:rsid w:val="005C20A4"/>
    <w:rsid w:val="005C2356"/>
    <w:rsid w:val="005C4B5D"/>
    <w:rsid w:val="005C75A2"/>
    <w:rsid w:val="005D1DCC"/>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60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47370"/>
    <w:rsid w:val="007517C3"/>
    <w:rsid w:val="00751F23"/>
    <w:rsid w:val="00753E19"/>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5B32"/>
    <w:rsid w:val="00886521"/>
    <w:rsid w:val="00891C30"/>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68C"/>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335"/>
    <w:rsid w:val="00A11A20"/>
    <w:rsid w:val="00A11DFB"/>
    <w:rsid w:val="00A11F1E"/>
    <w:rsid w:val="00A13708"/>
    <w:rsid w:val="00A14BA5"/>
    <w:rsid w:val="00A15C80"/>
    <w:rsid w:val="00A15DA4"/>
    <w:rsid w:val="00A170B2"/>
    <w:rsid w:val="00A20607"/>
    <w:rsid w:val="00A20D0F"/>
    <w:rsid w:val="00A22250"/>
    <w:rsid w:val="00A2486B"/>
    <w:rsid w:val="00A25160"/>
    <w:rsid w:val="00A2769F"/>
    <w:rsid w:val="00A27E76"/>
    <w:rsid w:val="00A31A13"/>
    <w:rsid w:val="00A323D7"/>
    <w:rsid w:val="00A32683"/>
    <w:rsid w:val="00A32701"/>
    <w:rsid w:val="00A330EB"/>
    <w:rsid w:val="00A334CC"/>
    <w:rsid w:val="00A44BE1"/>
    <w:rsid w:val="00A4500D"/>
    <w:rsid w:val="00A50415"/>
    <w:rsid w:val="00A51EFE"/>
    <w:rsid w:val="00A542B8"/>
    <w:rsid w:val="00A54719"/>
    <w:rsid w:val="00A57F0E"/>
    <w:rsid w:val="00A604B1"/>
    <w:rsid w:val="00A612B9"/>
    <w:rsid w:val="00A6179E"/>
    <w:rsid w:val="00A64151"/>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334F"/>
    <w:rsid w:val="00AE5146"/>
    <w:rsid w:val="00AE55C5"/>
    <w:rsid w:val="00AE5A4F"/>
    <w:rsid w:val="00AE60DA"/>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2222"/>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6E93"/>
    <w:rsid w:val="00CB1749"/>
    <w:rsid w:val="00CB3A9F"/>
    <w:rsid w:val="00CB5048"/>
    <w:rsid w:val="00CC10DA"/>
    <w:rsid w:val="00CC26D9"/>
    <w:rsid w:val="00CC43B7"/>
    <w:rsid w:val="00CC46C5"/>
    <w:rsid w:val="00CC71CF"/>
    <w:rsid w:val="00CD229F"/>
    <w:rsid w:val="00CE13DD"/>
    <w:rsid w:val="00CE1BB9"/>
    <w:rsid w:val="00CE2D1F"/>
    <w:rsid w:val="00CE41C0"/>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256E"/>
    <w:rsid w:val="00DD42F9"/>
    <w:rsid w:val="00DD7FC9"/>
    <w:rsid w:val="00DE1B4A"/>
    <w:rsid w:val="00DE2CFF"/>
    <w:rsid w:val="00DE2FFD"/>
    <w:rsid w:val="00DE3330"/>
    <w:rsid w:val="00DE5939"/>
    <w:rsid w:val="00DF4CBC"/>
    <w:rsid w:val="00DF5370"/>
    <w:rsid w:val="00E0032E"/>
    <w:rsid w:val="00E0205D"/>
    <w:rsid w:val="00E02703"/>
    <w:rsid w:val="00E1018A"/>
    <w:rsid w:val="00E106A4"/>
    <w:rsid w:val="00E120F4"/>
    <w:rsid w:val="00E153F6"/>
    <w:rsid w:val="00E15F7E"/>
    <w:rsid w:val="00E173DF"/>
    <w:rsid w:val="00E20BED"/>
    <w:rsid w:val="00E231A7"/>
    <w:rsid w:val="00E23669"/>
    <w:rsid w:val="00E265FD"/>
    <w:rsid w:val="00E27FC2"/>
    <w:rsid w:val="00E31912"/>
    <w:rsid w:val="00E31B60"/>
    <w:rsid w:val="00E34D88"/>
    <w:rsid w:val="00E353DB"/>
    <w:rsid w:val="00E36375"/>
    <w:rsid w:val="00E40D48"/>
    <w:rsid w:val="00E40DBF"/>
    <w:rsid w:val="00E42C98"/>
    <w:rsid w:val="00E43798"/>
    <w:rsid w:val="00E43842"/>
    <w:rsid w:val="00E44A79"/>
    <w:rsid w:val="00E45DCA"/>
    <w:rsid w:val="00E468CA"/>
    <w:rsid w:val="00E521EE"/>
    <w:rsid w:val="00E52C0C"/>
    <w:rsid w:val="00E61FB3"/>
    <w:rsid w:val="00E62B3D"/>
    <w:rsid w:val="00E6315A"/>
    <w:rsid w:val="00E65247"/>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3AB6"/>
    <w:rsid w:val="00EA4D0C"/>
    <w:rsid w:val="00EA4E53"/>
    <w:rsid w:val="00EA6259"/>
    <w:rsid w:val="00EA63A0"/>
    <w:rsid w:val="00EA6DEA"/>
    <w:rsid w:val="00EA7720"/>
    <w:rsid w:val="00EA7F21"/>
    <w:rsid w:val="00EB0D72"/>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2"/>
    <w:rsid w:val="00EF1557"/>
    <w:rsid w:val="00EF2B17"/>
    <w:rsid w:val="00EF4AE0"/>
    <w:rsid w:val="00EF6FA1"/>
    <w:rsid w:val="00F008C4"/>
    <w:rsid w:val="00F012FF"/>
    <w:rsid w:val="00F017FA"/>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6CF8"/>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2D2"/>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971B7"/>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03516"/>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14797"/>
    <w:rsid w:val="02E712F2"/>
    <w:rsid w:val="02E968F1"/>
    <w:rsid w:val="0310429F"/>
    <w:rsid w:val="03130048"/>
    <w:rsid w:val="03202434"/>
    <w:rsid w:val="03204437"/>
    <w:rsid w:val="032C42D8"/>
    <w:rsid w:val="033E499A"/>
    <w:rsid w:val="0347521D"/>
    <w:rsid w:val="035A5498"/>
    <w:rsid w:val="035B5483"/>
    <w:rsid w:val="03685A69"/>
    <w:rsid w:val="036C05DC"/>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91308"/>
    <w:rsid w:val="040D6866"/>
    <w:rsid w:val="04167747"/>
    <w:rsid w:val="041C2081"/>
    <w:rsid w:val="042320E4"/>
    <w:rsid w:val="043373F7"/>
    <w:rsid w:val="04367AF8"/>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4FF4E28"/>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2623C9"/>
    <w:rsid w:val="07387A0E"/>
    <w:rsid w:val="074A02C8"/>
    <w:rsid w:val="07505A8A"/>
    <w:rsid w:val="075926F1"/>
    <w:rsid w:val="07625AB8"/>
    <w:rsid w:val="076808B4"/>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456E4"/>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D94F68"/>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2205"/>
    <w:rsid w:val="0ABF5314"/>
    <w:rsid w:val="0AE003FA"/>
    <w:rsid w:val="0AF957A7"/>
    <w:rsid w:val="0AFB4824"/>
    <w:rsid w:val="0B104C80"/>
    <w:rsid w:val="0B1537E9"/>
    <w:rsid w:val="0B1B0258"/>
    <w:rsid w:val="0B1D1E17"/>
    <w:rsid w:val="0B2F5449"/>
    <w:rsid w:val="0B3A6177"/>
    <w:rsid w:val="0B431B86"/>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A93305"/>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165610"/>
    <w:rsid w:val="0E28192B"/>
    <w:rsid w:val="0E2F597F"/>
    <w:rsid w:val="0E37108C"/>
    <w:rsid w:val="0E3B3740"/>
    <w:rsid w:val="0E4D26CC"/>
    <w:rsid w:val="0E560EFD"/>
    <w:rsid w:val="0E5F542F"/>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B3E43"/>
    <w:rsid w:val="0FFC2B88"/>
    <w:rsid w:val="0FFD42FF"/>
    <w:rsid w:val="101207DA"/>
    <w:rsid w:val="10144ACE"/>
    <w:rsid w:val="1019048E"/>
    <w:rsid w:val="10192E34"/>
    <w:rsid w:val="10220ACB"/>
    <w:rsid w:val="10324C94"/>
    <w:rsid w:val="103E1201"/>
    <w:rsid w:val="103E1EA4"/>
    <w:rsid w:val="104177FA"/>
    <w:rsid w:val="104E6B35"/>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E20B1F"/>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9C332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A34B5"/>
    <w:rsid w:val="12AB4AA1"/>
    <w:rsid w:val="12C22B12"/>
    <w:rsid w:val="12D86D99"/>
    <w:rsid w:val="12E76CD2"/>
    <w:rsid w:val="12EC625A"/>
    <w:rsid w:val="12EF1DC3"/>
    <w:rsid w:val="12EF741A"/>
    <w:rsid w:val="12F254D0"/>
    <w:rsid w:val="12F3239A"/>
    <w:rsid w:val="12FE42D6"/>
    <w:rsid w:val="13046298"/>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9748E9"/>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7640B"/>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9A1CB5"/>
    <w:rsid w:val="16A137C5"/>
    <w:rsid w:val="16A21F5B"/>
    <w:rsid w:val="16BE1D19"/>
    <w:rsid w:val="16C00555"/>
    <w:rsid w:val="16CA1D2B"/>
    <w:rsid w:val="16DD0C31"/>
    <w:rsid w:val="16DF2B07"/>
    <w:rsid w:val="16E7282C"/>
    <w:rsid w:val="16FE3110"/>
    <w:rsid w:val="17026F10"/>
    <w:rsid w:val="170A3FAB"/>
    <w:rsid w:val="172320E3"/>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35161"/>
    <w:rsid w:val="1885335D"/>
    <w:rsid w:val="18870497"/>
    <w:rsid w:val="188726D4"/>
    <w:rsid w:val="189B7E34"/>
    <w:rsid w:val="189C51CA"/>
    <w:rsid w:val="189C5A97"/>
    <w:rsid w:val="18A459CA"/>
    <w:rsid w:val="18A66233"/>
    <w:rsid w:val="18B22B5C"/>
    <w:rsid w:val="18B32649"/>
    <w:rsid w:val="18B84CB0"/>
    <w:rsid w:val="18C605BC"/>
    <w:rsid w:val="18DE1AEB"/>
    <w:rsid w:val="18DF7791"/>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716B5"/>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737B0"/>
    <w:rsid w:val="1A9E713F"/>
    <w:rsid w:val="1AA1145C"/>
    <w:rsid w:val="1AAD30FA"/>
    <w:rsid w:val="1AAE16C4"/>
    <w:rsid w:val="1AAE520B"/>
    <w:rsid w:val="1AB13940"/>
    <w:rsid w:val="1ABA705B"/>
    <w:rsid w:val="1ABF48A0"/>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D1A78"/>
    <w:rsid w:val="1DFD5D66"/>
    <w:rsid w:val="1E1C0F23"/>
    <w:rsid w:val="1E1D3350"/>
    <w:rsid w:val="1E2D3856"/>
    <w:rsid w:val="1E2E6394"/>
    <w:rsid w:val="1E3C2C1F"/>
    <w:rsid w:val="1E493A73"/>
    <w:rsid w:val="1E4B4BF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5766E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57438"/>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17276"/>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5F5B97"/>
    <w:rsid w:val="23614A63"/>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90E9A"/>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EE6420"/>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2433"/>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3C086D"/>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00368"/>
    <w:rsid w:val="28AD4406"/>
    <w:rsid w:val="28BB2CA0"/>
    <w:rsid w:val="28BC2993"/>
    <w:rsid w:val="28C36B12"/>
    <w:rsid w:val="28C50DF2"/>
    <w:rsid w:val="28C6288E"/>
    <w:rsid w:val="28CB7B04"/>
    <w:rsid w:val="28CC10A4"/>
    <w:rsid w:val="28D34355"/>
    <w:rsid w:val="28E2106E"/>
    <w:rsid w:val="28E95483"/>
    <w:rsid w:val="28EB4FE6"/>
    <w:rsid w:val="28EE4F7F"/>
    <w:rsid w:val="28F257BC"/>
    <w:rsid w:val="28F50C58"/>
    <w:rsid w:val="28F62E85"/>
    <w:rsid w:val="28FA532D"/>
    <w:rsid w:val="28FA7BD2"/>
    <w:rsid w:val="290539B4"/>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241ED8"/>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2AD7"/>
    <w:rsid w:val="2D5145BB"/>
    <w:rsid w:val="2D7028E4"/>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3F7674"/>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9F2D89"/>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9C50C9"/>
    <w:rsid w:val="37A81832"/>
    <w:rsid w:val="37AD0E97"/>
    <w:rsid w:val="37B3284E"/>
    <w:rsid w:val="37B93020"/>
    <w:rsid w:val="37C75A14"/>
    <w:rsid w:val="37D51DFC"/>
    <w:rsid w:val="37DD7DB5"/>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279BA"/>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EC7B15"/>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934DC"/>
    <w:rsid w:val="3A7F3816"/>
    <w:rsid w:val="3A801DAE"/>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3B18CF"/>
    <w:rsid w:val="3B472810"/>
    <w:rsid w:val="3B4F5659"/>
    <w:rsid w:val="3B587FC0"/>
    <w:rsid w:val="3B5C5E4F"/>
    <w:rsid w:val="3B686802"/>
    <w:rsid w:val="3B756E11"/>
    <w:rsid w:val="3B8A05C9"/>
    <w:rsid w:val="3B8B65A4"/>
    <w:rsid w:val="3B94771D"/>
    <w:rsid w:val="3B9B0C86"/>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BF4B37"/>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05940"/>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9024B"/>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5531A"/>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974C9"/>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3163B"/>
    <w:rsid w:val="415B01B8"/>
    <w:rsid w:val="415D31E9"/>
    <w:rsid w:val="417525E2"/>
    <w:rsid w:val="417F3AA5"/>
    <w:rsid w:val="418B39A2"/>
    <w:rsid w:val="418F3709"/>
    <w:rsid w:val="419E41FD"/>
    <w:rsid w:val="41A6561A"/>
    <w:rsid w:val="41A72A85"/>
    <w:rsid w:val="41AD068C"/>
    <w:rsid w:val="41BC51E7"/>
    <w:rsid w:val="41C1720A"/>
    <w:rsid w:val="41C807B8"/>
    <w:rsid w:val="41CA6CFC"/>
    <w:rsid w:val="41D35005"/>
    <w:rsid w:val="41DA7F1B"/>
    <w:rsid w:val="41E310E9"/>
    <w:rsid w:val="41E35AA4"/>
    <w:rsid w:val="41EC244C"/>
    <w:rsid w:val="42115916"/>
    <w:rsid w:val="4222777A"/>
    <w:rsid w:val="422C0B6F"/>
    <w:rsid w:val="424576B0"/>
    <w:rsid w:val="424F7E66"/>
    <w:rsid w:val="4279133E"/>
    <w:rsid w:val="427B56B5"/>
    <w:rsid w:val="427B7C5D"/>
    <w:rsid w:val="42850BB4"/>
    <w:rsid w:val="429168C1"/>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D2BC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EB5FC3"/>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CC1A37"/>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25E21"/>
    <w:rsid w:val="4E1702F3"/>
    <w:rsid w:val="4E2369FD"/>
    <w:rsid w:val="4E303544"/>
    <w:rsid w:val="4E33408C"/>
    <w:rsid w:val="4E3D0BD7"/>
    <w:rsid w:val="4E3D42C6"/>
    <w:rsid w:val="4E41233A"/>
    <w:rsid w:val="4E652349"/>
    <w:rsid w:val="4E6A7D36"/>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D17EE"/>
    <w:rsid w:val="4F1F2B7E"/>
    <w:rsid w:val="4F207B2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3231"/>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1C5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625900"/>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433C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C69F2"/>
    <w:rsid w:val="548352CB"/>
    <w:rsid w:val="548B782B"/>
    <w:rsid w:val="548B79F3"/>
    <w:rsid w:val="54900F96"/>
    <w:rsid w:val="54990495"/>
    <w:rsid w:val="54A12B05"/>
    <w:rsid w:val="54AE498A"/>
    <w:rsid w:val="54B56EED"/>
    <w:rsid w:val="54C971AF"/>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A3568"/>
    <w:rsid w:val="556D79E1"/>
    <w:rsid w:val="557370C9"/>
    <w:rsid w:val="55794F8B"/>
    <w:rsid w:val="557B4C8B"/>
    <w:rsid w:val="55832F33"/>
    <w:rsid w:val="558A5F58"/>
    <w:rsid w:val="558D782E"/>
    <w:rsid w:val="558F42FA"/>
    <w:rsid w:val="55951C70"/>
    <w:rsid w:val="55A75B6C"/>
    <w:rsid w:val="55B15C2A"/>
    <w:rsid w:val="55B52DF8"/>
    <w:rsid w:val="55BB4B52"/>
    <w:rsid w:val="55CA34C8"/>
    <w:rsid w:val="55CB1CAC"/>
    <w:rsid w:val="55D11067"/>
    <w:rsid w:val="55D1448A"/>
    <w:rsid w:val="55D15F89"/>
    <w:rsid w:val="55D24E7E"/>
    <w:rsid w:val="55EA6D1D"/>
    <w:rsid w:val="55EE45E5"/>
    <w:rsid w:val="55FE6BE4"/>
    <w:rsid w:val="56053523"/>
    <w:rsid w:val="56070E26"/>
    <w:rsid w:val="560839E5"/>
    <w:rsid w:val="560A2D1E"/>
    <w:rsid w:val="5614780E"/>
    <w:rsid w:val="561B3DC0"/>
    <w:rsid w:val="56211BC6"/>
    <w:rsid w:val="563252AC"/>
    <w:rsid w:val="56493FC4"/>
    <w:rsid w:val="565874D5"/>
    <w:rsid w:val="56597936"/>
    <w:rsid w:val="565A3745"/>
    <w:rsid w:val="56674043"/>
    <w:rsid w:val="566A4A9E"/>
    <w:rsid w:val="56890707"/>
    <w:rsid w:val="5694199B"/>
    <w:rsid w:val="56A010CA"/>
    <w:rsid w:val="56A8433D"/>
    <w:rsid w:val="56B50793"/>
    <w:rsid w:val="56BA6A6F"/>
    <w:rsid w:val="56CF6A45"/>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47512"/>
    <w:rsid w:val="57271B76"/>
    <w:rsid w:val="57290486"/>
    <w:rsid w:val="572C7DB7"/>
    <w:rsid w:val="573A1093"/>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91257"/>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260EC"/>
    <w:rsid w:val="5C4E4EC4"/>
    <w:rsid w:val="5C5B2957"/>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E765F"/>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417C2A"/>
    <w:rsid w:val="5F5F2A5D"/>
    <w:rsid w:val="5F6331CC"/>
    <w:rsid w:val="5F6A70E7"/>
    <w:rsid w:val="5F7413ED"/>
    <w:rsid w:val="5F74277E"/>
    <w:rsid w:val="5F771E2C"/>
    <w:rsid w:val="5F817E11"/>
    <w:rsid w:val="5F916B4B"/>
    <w:rsid w:val="5F9C1A78"/>
    <w:rsid w:val="5FA76A91"/>
    <w:rsid w:val="5FAF7DDA"/>
    <w:rsid w:val="5FBA5EC2"/>
    <w:rsid w:val="5FC57C91"/>
    <w:rsid w:val="5FCE245F"/>
    <w:rsid w:val="5FCE283F"/>
    <w:rsid w:val="5FD32219"/>
    <w:rsid w:val="5FD370E2"/>
    <w:rsid w:val="5FDC1B9B"/>
    <w:rsid w:val="5FF50B7C"/>
    <w:rsid w:val="5FF74A8C"/>
    <w:rsid w:val="5FF80F4A"/>
    <w:rsid w:val="5FFB1252"/>
    <w:rsid w:val="60042614"/>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20838"/>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84CF4"/>
    <w:rsid w:val="64AB2CF9"/>
    <w:rsid w:val="64B44C57"/>
    <w:rsid w:val="64B44DBF"/>
    <w:rsid w:val="64B73716"/>
    <w:rsid w:val="64B83EC8"/>
    <w:rsid w:val="64BD7A01"/>
    <w:rsid w:val="64C97B3D"/>
    <w:rsid w:val="64CD75B9"/>
    <w:rsid w:val="64D85F5A"/>
    <w:rsid w:val="64E96A52"/>
    <w:rsid w:val="64EE07A4"/>
    <w:rsid w:val="64F00938"/>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643459"/>
    <w:rsid w:val="667E1BDC"/>
    <w:rsid w:val="66843C27"/>
    <w:rsid w:val="668A358B"/>
    <w:rsid w:val="66920BC5"/>
    <w:rsid w:val="669B1351"/>
    <w:rsid w:val="66A22294"/>
    <w:rsid w:val="66B167D9"/>
    <w:rsid w:val="66B718F6"/>
    <w:rsid w:val="66B77C96"/>
    <w:rsid w:val="66C6028C"/>
    <w:rsid w:val="66D7613B"/>
    <w:rsid w:val="66E4179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43823"/>
    <w:rsid w:val="67F50316"/>
    <w:rsid w:val="67F8136D"/>
    <w:rsid w:val="67FD5E3A"/>
    <w:rsid w:val="680B1C59"/>
    <w:rsid w:val="680B3317"/>
    <w:rsid w:val="682C3322"/>
    <w:rsid w:val="683407D5"/>
    <w:rsid w:val="683F785C"/>
    <w:rsid w:val="68570DC2"/>
    <w:rsid w:val="6865768E"/>
    <w:rsid w:val="6868422B"/>
    <w:rsid w:val="6870626F"/>
    <w:rsid w:val="68756660"/>
    <w:rsid w:val="687B65AE"/>
    <w:rsid w:val="68847A53"/>
    <w:rsid w:val="68910854"/>
    <w:rsid w:val="68A208F6"/>
    <w:rsid w:val="68A864AF"/>
    <w:rsid w:val="68E9625F"/>
    <w:rsid w:val="68F4740B"/>
    <w:rsid w:val="68FE10A8"/>
    <w:rsid w:val="68FE79AF"/>
    <w:rsid w:val="69012993"/>
    <w:rsid w:val="690220BD"/>
    <w:rsid w:val="69030DDF"/>
    <w:rsid w:val="6912744C"/>
    <w:rsid w:val="69187AE4"/>
    <w:rsid w:val="691B76DD"/>
    <w:rsid w:val="69273460"/>
    <w:rsid w:val="69286F07"/>
    <w:rsid w:val="69336BFC"/>
    <w:rsid w:val="69390486"/>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47BE9"/>
    <w:rsid w:val="6A1904ED"/>
    <w:rsid w:val="6A252E83"/>
    <w:rsid w:val="6A2B39A2"/>
    <w:rsid w:val="6A2F2A40"/>
    <w:rsid w:val="6A4E63D2"/>
    <w:rsid w:val="6A72023C"/>
    <w:rsid w:val="6A835F76"/>
    <w:rsid w:val="6A892BBB"/>
    <w:rsid w:val="6A9010CD"/>
    <w:rsid w:val="6A934155"/>
    <w:rsid w:val="6A960F65"/>
    <w:rsid w:val="6A977D6C"/>
    <w:rsid w:val="6A981DCD"/>
    <w:rsid w:val="6AA30297"/>
    <w:rsid w:val="6AAA163C"/>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44312"/>
    <w:rsid w:val="6B792121"/>
    <w:rsid w:val="6B8019CD"/>
    <w:rsid w:val="6B8F7643"/>
    <w:rsid w:val="6B9A4DEC"/>
    <w:rsid w:val="6B9C0D8E"/>
    <w:rsid w:val="6BA4629F"/>
    <w:rsid w:val="6BAA3072"/>
    <w:rsid w:val="6BB4311A"/>
    <w:rsid w:val="6BBC4456"/>
    <w:rsid w:val="6BCE7A05"/>
    <w:rsid w:val="6BD844D6"/>
    <w:rsid w:val="6BE24B28"/>
    <w:rsid w:val="6BEA6208"/>
    <w:rsid w:val="6BFB2151"/>
    <w:rsid w:val="6BFF45AB"/>
    <w:rsid w:val="6C081D85"/>
    <w:rsid w:val="6C0B3C6A"/>
    <w:rsid w:val="6C0B6EFE"/>
    <w:rsid w:val="6C151FEE"/>
    <w:rsid w:val="6C1D5EA0"/>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CFD5348"/>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3466E"/>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3C0F19"/>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37D6B"/>
    <w:rsid w:val="71092536"/>
    <w:rsid w:val="71093815"/>
    <w:rsid w:val="710F3080"/>
    <w:rsid w:val="712251D1"/>
    <w:rsid w:val="713D4302"/>
    <w:rsid w:val="713D52C3"/>
    <w:rsid w:val="713E39CC"/>
    <w:rsid w:val="71441D19"/>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0B4AA9"/>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334D8"/>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B549A6"/>
    <w:rsid w:val="75BE008A"/>
    <w:rsid w:val="75C068A9"/>
    <w:rsid w:val="75C85381"/>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47D9B"/>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15732"/>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69526E"/>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BF662EE"/>
    <w:rsid w:val="7C036F42"/>
    <w:rsid w:val="7C18182D"/>
    <w:rsid w:val="7C1C50AC"/>
    <w:rsid w:val="7C1E48E8"/>
    <w:rsid w:val="7C270240"/>
    <w:rsid w:val="7C302A72"/>
    <w:rsid w:val="7C3D63E5"/>
    <w:rsid w:val="7C6762E3"/>
    <w:rsid w:val="7C6F2369"/>
    <w:rsid w:val="7C815ED2"/>
    <w:rsid w:val="7C8A0A6B"/>
    <w:rsid w:val="7C8C2941"/>
    <w:rsid w:val="7C8C4745"/>
    <w:rsid w:val="7C9162B1"/>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993851"/>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1E4B14"/>
    <w:rsid w:val="7E25635C"/>
    <w:rsid w:val="7E28463A"/>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18AA"/>
    <w:rsid w:val="7ED9614C"/>
    <w:rsid w:val="7EDE502B"/>
    <w:rsid w:val="7EEC2601"/>
    <w:rsid w:val="7F087996"/>
    <w:rsid w:val="7F0B04B7"/>
    <w:rsid w:val="7F0E419C"/>
    <w:rsid w:val="7F1A0942"/>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8"/>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ZTE-Observation-2021"/>
    <w:basedOn w:val="1"/>
    <w:qFormat/>
    <w:uiPriority w:val="0"/>
    <w:pPr>
      <w:numPr>
        <w:ilvl w:val="0"/>
        <w:numId w:val="3"/>
      </w:numPr>
      <w:snapToGrid w:val="0"/>
      <w:spacing w:before="50" w:after="50"/>
      <w:ind w:left="1273" w:hanging="1273" w:hangingChars="634"/>
      <w:jc w:val="left"/>
      <w:textAlignment w:val="center"/>
    </w:pPr>
    <w:rPr>
      <w:rFonts w:cs="宋体"/>
      <w:b/>
      <w:bCs/>
      <w:i/>
      <w:iCs/>
      <w:sz w:val="20"/>
      <w:lang w:val="en-GB" w:eastAsia="en-US"/>
    </w:rPr>
  </w:style>
  <w:style w:type="paragraph" w:customStyle="1" w:styleId="286">
    <w:name w:val="!ZTE-Proposal-2021 + 段前: 0.5 行 段后: 0.5 行"/>
    <w:basedOn w:val="1"/>
    <w:qFormat/>
    <w:uiPriority w:val="0"/>
    <w:pPr>
      <w:numPr>
        <w:ilvl w:val="0"/>
        <w:numId w:val="4"/>
      </w:numPr>
      <w:spacing w:before="50" w:after="50"/>
      <w:ind w:left="1132" w:hanging="1132" w:hangingChars="564"/>
      <w:jc w:val="left"/>
    </w:pPr>
    <w:rPr>
      <w:rFonts w:cs="宋体"/>
      <w:b/>
      <w:bCs/>
      <w:iCs/>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AE24D8-6B3C-499F-9680-2F7C0105676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1399</Words>
  <Characters>7977</Characters>
  <Lines>66</Lines>
  <Paragraphs>18</Paragraphs>
  <TotalTime>0</TotalTime>
  <ScaleCrop>false</ScaleCrop>
  <LinksUpToDate>false</LinksUpToDate>
  <CharactersWithSpaces>9358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Rapp_after#123</cp:lastModifiedBy>
  <cp:lastPrinted>2113-01-01T00:00:00Z</cp:lastPrinted>
  <dcterms:modified xsi:type="dcterms:W3CDTF">2023-09-28T11:53:38Z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FE7364BB72BB4853BA2AF148F18CF1C5</vt:lpwstr>
  </property>
</Properties>
</file>